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716" w:type="dxa"/>
        <w:jc w:val="left"/>
        <w:tblInd w:w="0" w:type="dxa"/>
        <w:tblBorders/>
        <w:tblCellMar>
          <w:top w:w="60" w:type="dxa"/>
          <w:left w:w="80" w:type="dxa"/>
          <w:bottom w:w="60" w:type="dxa"/>
          <w:right w:w="80" w:type="dxa"/>
        </w:tblCellMar>
      </w:tblPr>
      <w:tblGrid>
        <w:gridCol w:w="10716"/>
      </w:tblGrid>
      <w:tr>
        <w:trPr>
          <w:trHeight w:val="3031" w:hRule="exact"/>
        </w:trPr>
        <w:tc>
          <w:tcPr>
            <w:tcW w:w="10716" w:type="dxa"/>
            <w:tcBorders/>
            <w:shd w:fill="auto" w:val="clear"/>
          </w:tcPr>
          <w:p>
            <w:pPr>
              <w:pStyle w:val="ConsPlusTitlePage"/>
              <w:tabs>
                <w:tab w:val="clear" w:pos="720"/>
              </w:tabs>
              <w:ind w:left="0" w:hanging="0"/>
              <w:jc w:val="left"/>
              <w:rPr>
                <w:b w:val="false"/>
                <w:b w:val="false"/>
                <w:sz w:val="20"/>
              </w:rPr>
            </w:pPr>
            <w:r>
              <w:rPr/>
              <w:drawing>
                <wp:inline distT="0" distB="0" distL="0" distR="0">
                  <wp:extent cx="3810000"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3810000" cy="904875"/>
                          </a:xfrm>
                          <a:prstGeom prst="rect">
                            <a:avLst/>
                          </a:prstGeom>
                        </pic:spPr>
                      </pic:pic>
                    </a:graphicData>
                  </a:graphic>
                </wp:inline>
              </w:drawing>
            </w:r>
          </w:p>
        </w:tc>
      </w:tr>
      <w:tr>
        <w:trPr>
          <w:trHeight w:val="8335" w:hRule="exact"/>
        </w:trPr>
        <w:tc>
          <w:tcPr>
            <w:tcW w:w="10716" w:type="dxa"/>
            <w:tcBorders/>
            <w:shd w:fill="auto" w:val="clear"/>
            <w:vAlign w:val="center"/>
          </w:tcPr>
          <w:p>
            <w:pPr>
              <w:pStyle w:val="ConsPlusTitlePage"/>
              <w:tabs>
                <w:tab w:val="clear" w:pos="720"/>
              </w:tabs>
              <w:ind w:left="0" w:hanging="0"/>
              <w:jc w:val="center"/>
              <w:rPr>
                <w:b w:val="false"/>
                <w:b w:val="false"/>
              </w:rPr>
            </w:pPr>
            <w:r>
              <w:rPr>
                <w:sz w:val="48"/>
              </w:rPr>
              <w:t>Постановление Правительства Самарской области от 11.09.2019 N 636</w:t>
            </w:r>
            <w:r>
              <w:rPr/>
              <w:br/>
            </w:r>
            <w:r>
              <w:rPr>
                <w:sz w:val="48"/>
              </w:rPr>
              <w:t>"Об установлении размера предельной стоимости услуг и (или) работ по капитальному ремонту общего имущества в многоквартирном доме"</w:t>
            </w:r>
          </w:p>
        </w:tc>
      </w:tr>
      <w:tr>
        <w:trPr>
          <w:trHeight w:val="3031" w:hRule="exact"/>
        </w:trPr>
        <w:tc>
          <w:tcPr>
            <w:tcW w:w="10716" w:type="dxa"/>
            <w:tcBorders/>
            <w:shd w:fill="auto" w:val="clear"/>
            <w:vAlign w:val="center"/>
          </w:tcPr>
          <w:p>
            <w:pPr>
              <w:pStyle w:val="ConsPlusTitlePage"/>
              <w:tabs>
                <w:tab w:val="clear" w:pos="720"/>
              </w:tabs>
              <w:ind w:left="0" w:hanging="0"/>
              <w:jc w:val="center"/>
              <w:rPr/>
            </w:pPr>
            <w:r>
              <w:rPr>
                <w:sz w:val="28"/>
              </w:rPr>
              <w:t xml:space="preserve">Документ предоставлен </w:t>
            </w:r>
            <w:hyperlink r:id="rId3">
              <w:r>
                <w:rPr>
                  <w:rStyle w:val="ListLabel2"/>
                  <w:b/>
                  <w:color w:val="0000FF"/>
                  <w:sz w:val="28"/>
                </w:rPr>
                <w:t>КонсультантПлюс</w:t>
              </w:r>
              <w:r>
                <w:rPr>
                  <w:rStyle w:val="ListLabel2"/>
                </w:rPr>
                <w:br/>
                <w:br/>
              </w:r>
            </w:hyperlink>
            <w:hyperlink r:id="rId4">
              <w:r>
                <w:rPr>
                  <w:rStyle w:val="ListLabel1"/>
                  <w:b/>
                  <w:color w:val="0000FF"/>
                  <w:sz w:val="28"/>
                </w:rPr>
                <w:t>www.consultant.ru</w:t>
              </w:r>
            </w:hyperlink>
            <w:r>
              <w:rPr/>
              <w:br/>
              <w:br/>
            </w:r>
            <w:r>
              <w:rPr>
                <w:sz w:val="28"/>
              </w:rPr>
              <w:t>Дата сохранения: 18.09.2019</w:t>
            </w:r>
            <w:r>
              <w:rPr/>
              <w:br/>
            </w:r>
            <w:r>
              <w:rPr>
                <w:sz w:val="28"/>
              </w:rPr>
              <w:t> </w:t>
            </w:r>
          </w:p>
        </w:tc>
      </w:tr>
    </w:tbl>
    <w:p>
      <w:pPr>
        <w:sectPr>
          <w:type w:val="nextPage"/>
          <w:pgSz w:w="11906" w:h="16838"/>
          <w:pgMar w:left="595" w:right="595" w:header="0" w:top="841" w:footer="0" w:bottom="841" w:gutter="0"/>
          <w:pgNumType w:fmt="decimal"/>
          <w:formProt w:val="false"/>
          <w:textDirection w:val="lrTb"/>
          <w:docGrid w:type="default" w:linePitch="100" w:charSpace="0"/>
        </w:sectPr>
        <w:pStyle w:val="Normal"/>
        <w:rPr/>
      </w:pPr>
      <w:r>
        <w:rPr/>
      </w:r>
    </w:p>
    <w:p>
      <w:pPr>
        <w:pStyle w:val="ConsPlusNormal"/>
        <w:numPr>
          <w:ilvl w:val="0"/>
          <w:numId w:val="0"/>
        </w:numPr>
        <w:ind w:left="0" w:hanging="0"/>
        <w:jc w:val="both"/>
        <w:outlineLvl w:val="0"/>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Title"/>
        <w:numPr>
          <w:ilvl w:val="0"/>
          <w:numId w:val="0"/>
        </w:numPr>
        <w:ind w:left="0" w:hanging="0"/>
        <w:jc w:val="center"/>
        <w:outlineLvl w:val="0"/>
        <w:rPr>
          <w:b w:val="false"/>
          <w:b w:val="false"/>
        </w:rPr>
      </w:pPr>
      <w:r>
        <w:rPr>
          <w:b/>
          <w:i w:val="false"/>
          <w:strike w:val="false"/>
          <w:dstrike w:val="false"/>
          <w:sz w:val="24"/>
          <w:u w:val="none"/>
        </w:rPr>
        <w:t>ПРАВИТЕЛЬСТВО САМАРСКОЙ ОБЛАСТИ</w:t>
      </w:r>
    </w:p>
    <w:p>
      <w:pPr>
        <w:pStyle w:val="ConsPlusTitle"/>
        <w:ind w:left="0" w:hanging="0"/>
        <w:jc w:val="both"/>
        <w:rPr>
          <w:rFonts w:ascii="Arial" w:hAnsi="Arial"/>
          <w:b/>
          <w:b/>
          <w:i w:val="false"/>
          <w:i w:val="false"/>
          <w:strike w:val="false"/>
          <w:dstrike w:val="false"/>
          <w:sz w:val="24"/>
          <w:u w:val="none"/>
        </w:rPr>
      </w:pPr>
      <w:r>
        <w:rPr>
          <w:b/>
          <w:i w:val="false"/>
          <w:strike w:val="false"/>
          <w:dstrike w:val="false"/>
          <w:sz w:val="24"/>
          <w:u w:val="none"/>
        </w:rPr>
      </w:r>
    </w:p>
    <w:p>
      <w:pPr>
        <w:pStyle w:val="ConsPlusTitle"/>
        <w:ind w:left="0" w:hanging="0"/>
        <w:jc w:val="center"/>
        <w:rPr>
          <w:b w:val="false"/>
          <w:b w:val="false"/>
        </w:rPr>
      </w:pPr>
      <w:r>
        <w:rPr>
          <w:b/>
          <w:i w:val="false"/>
          <w:strike w:val="false"/>
          <w:dstrike w:val="false"/>
          <w:sz w:val="24"/>
          <w:u w:val="none"/>
        </w:rPr>
        <w:t>ПОСТАНОВЛЕНИЕ</w:t>
      </w:r>
    </w:p>
    <w:p>
      <w:pPr>
        <w:pStyle w:val="ConsPlusTitle"/>
        <w:ind w:left="0" w:hanging="0"/>
        <w:jc w:val="center"/>
        <w:rPr>
          <w:b w:val="false"/>
          <w:b w:val="false"/>
        </w:rPr>
      </w:pPr>
      <w:r>
        <w:rPr>
          <w:b/>
          <w:i w:val="false"/>
          <w:strike w:val="false"/>
          <w:dstrike w:val="false"/>
          <w:sz w:val="24"/>
          <w:u w:val="none"/>
        </w:rPr>
        <w:t>от 11 сентября 2019 г. N 636</w:t>
      </w:r>
    </w:p>
    <w:p>
      <w:pPr>
        <w:pStyle w:val="ConsPlusTitle"/>
        <w:ind w:left="0" w:hanging="0"/>
        <w:jc w:val="both"/>
        <w:rPr>
          <w:rFonts w:ascii="Arial" w:hAnsi="Arial"/>
          <w:b/>
          <w:b/>
          <w:i w:val="false"/>
          <w:i w:val="false"/>
          <w:strike w:val="false"/>
          <w:dstrike w:val="false"/>
          <w:sz w:val="24"/>
          <w:u w:val="none"/>
        </w:rPr>
      </w:pPr>
      <w:r>
        <w:rPr>
          <w:b/>
          <w:i w:val="false"/>
          <w:strike w:val="false"/>
          <w:dstrike w:val="false"/>
          <w:sz w:val="24"/>
          <w:u w:val="none"/>
        </w:rPr>
      </w:r>
    </w:p>
    <w:p>
      <w:pPr>
        <w:pStyle w:val="ConsPlusTitle"/>
        <w:ind w:left="0" w:hanging="0"/>
        <w:jc w:val="center"/>
        <w:rPr>
          <w:b w:val="false"/>
          <w:b w:val="false"/>
        </w:rPr>
      </w:pPr>
      <w:r>
        <w:rPr>
          <w:b/>
          <w:i w:val="false"/>
          <w:strike w:val="false"/>
          <w:dstrike w:val="false"/>
          <w:sz w:val="24"/>
          <w:u w:val="none"/>
        </w:rPr>
        <w:t>ОБ УСТАНОВЛЕНИИ РАЗМЕРА ПРЕДЕЛЬНОЙ СТОИМОСТИ УСЛУГ И (ИЛИ)</w:t>
      </w:r>
    </w:p>
    <w:p>
      <w:pPr>
        <w:pStyle w:val="ConsPlusTitle"/>
        <w:ind w:left="0" w:hanging="0"/>
        <w:jc w:val="center"/>
        <w:rPr>
          <w:b w:val="false"/>
          <w:b w:val="false"/>
        </w:rPr>
      </w:pPr>
      <w:r>
        <w:rPr>
          <w:b/>
          <w:i w:val="false"/>
          <w:strike w:val="false"/>
          <w:dstrike w:val="false"/>
          <w:sz w:val="24"/>
          <w:u w:val="none"/>
        </w:rPr>
        <w:t>РАБОТ ПО КАПИТАЛЬНОМУ РЕМОНТУ ОБЩЕГО ИМУЩЕСТВА</w:t>
      </w:r>
    </w:p>
    <w:p>
      <w:pPr>
        <w:pStyle w:val="ConsPlusTitle"/>
        <w:ind w:left="0" w:hanging="0"/>
        <w:jc w:val="center"/>
        <w:rPr>
          <w:b w:val="false"/>
          <w:b w:val="false"/>
        </w:rPr>
      </w:pPr>
      <w:r>
        <w:rPr>
          <w:b/>
          <w:i w:val="false"/>
          <w:strike w:val="false"/>
          <w:dstrike w:val="false"/>
          <w:sz w:val="24"/>
          <w:u w:val="none"/>
        </w:rPr>
        <w:t>В МНОГОКВАРТИРНОМ ДОМЕ</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firstLine="540"/>
        <w:jc w:val="both"/>
        <w:rPr>
          <w:b w:val="false"/>
          <w:b w:val="false"/>
        </w:rPr>
      </w:pPr>
      <w:r>
        <w:rPr>
          <w:b w:val="false"/>
          <w:i w:val="false"/>
          <w:strike w:val="false"/>
          <w:dstrike w:val="false"/>
          <w:sz w:val="24"/>
          <w:u w:val="none"/>
        </w:rPr>
        <w:t>В соответствии со статьей 190 Жилищного кодекса Российской Федерации, статьями 3 и 24 Закона Самарской области "О системе капитального ремонта общего имущества в многоквартирных домах, расположенных на территории Самарской области" Правительство Самарской области постановляет:</w:t>
      </w:r>
    </w:p>
    <w:p>
      <w:pPr>
        <w:pStyle w:val="ConsPlusNormal"/>
        <w:spacing w:before="240" w:after="0"/>
        <w:ind w:left="0" w:firstLine="540"/>
        <w:jc w:val="both"/>
        <w:rPr/>
      </w:pPr>
      <w:r>
        <w:rPr>
          <w:b w:val="false"/>
          <w:i w:val="false"/>
          <w:strike w:val="false"/>
          <w:dstrike w:val="false"/>
          <w:sz w:val="24"/>
          <w:u w:val="none"/>
        </w:rPr>
        <w:t xml:space="preserve">1. Установить </w:t>
      </w:r>
      <w:hyperlink w:anchor="Par30" w:tgtFrame="РАЗМЕР">
        <w:r>
          <w:rPr>
            <w:rStyle w:val="ListLabel3"/>
            <w:b w:val="false"/>
            <w:i w:val="false"/>
            <w:strike w:val="false"/>
            <w:dstrike w:val="false"/>
            <w:color w:val="0000FF"/>
            <w:sz w:val="24"/>
            <w:u w:val="none"/>
          </w:rPr>
          <w:t>размер</w:t>
        </w:r>
      </w:hyperlink>
      <w:r>
        <w:rPr>
          <w:b w:val="false"/>
          <w:i w:val="false"/>
          <w:strike w:val="false"/>
          <w:dstrike w:val="false"/>
          <w:sz w:val="24"/>
          <w:u w:val="none"/>
        </w:rPr>
        <w:t xml:space="preserve">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согласно приложению 1 к настоящему Постановлению.</w:t>
      </w:r>
    </w:p>
    <w:p>
      <w:pPr>
        <w:pStyle w:val="ConsPlusNormal"/>
        <w:spacing w:before="240" w:after="0"/>
        <w:ind w:left="0" w:firstLine="540"/>
        <w:jc w:val="both"/>
        <w:rPr/>
      </w:pPr>
      <w:r>
        <w:rPr>
          <w:b w:val="false"/>
          <w:i w:val="false"/>
          <w:strike w:val="false"/>
          <w:dstrike w:val="false"/>
          <w:sz w:val="24"/>
          <w:u w:val="none"/>
        </w:rPr>
        <w:t xml:space="preserve">2. Установить </w:t>
      </w:r>
      <w:hyperlink w:anchor="Par191" w:tgtFrame="РАЗМЕР">
        <w:r>
          <w:rPr>
            <w:rStyle w:val="ListLabel3"/>
            <w:b w:val="false"/>
            <w:i w:val="false"/>
            <w:strike w:val="false"/>
            <w:dstrike w:val="false"/>
            <w:color w:val="0000FF"/>
            <w:sz w:val="24"/>
            <w:u w:val="none"/>
          </w:rPr>
          <w:t>размер</w:t>
        </w:r>
      </w:hyperlink>
      <w:r>
        <w:rPr>
          <w:b w:val="false"/>
          <w:i w:val="false"/>
          <w:strike w:val="false"/>
          <w:dstrike w:val="false"/>
          <w:sz w:val="24"/>
          <w:u w:val="none"/>
        </w:rPr>
        <w:t xml:space="preserve"> предельной стоимости услуг и (или) работ по капитальному ремонту общего имущества в многоквартирном доме, включенном в единый государственный реестр объектов культурного наследия (памятников истории и культуры) народов Российской Федерации или являющемся выявленным объектом культурного наследия,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согласно приложению 2 к настоящему Постановлению.</w:t>
      </w:r>
    </w:p>
    <w:p>
      <w:pPr>
        <w:pStyle w:val="ConsPlusNormal"/>
        <w:spacing w:before="240" w:after="0"/>
        <w:ind w:left="0" w:firstLine="540"/>
        <w:jc w:val="both"/>
        <w:rPr>
          <w:b w:val="false"/>
          <w:b w:val="false"/>
        </w:rPr>
      </w:pPr>
      <w:r>
        <w:rPr>
          <w:b w:val="false"/>
          <w:i w:val="false"/>
          <w:strike w:val="false"/>
          <w:dstrike w:val="false"/>
          <w:sz w:val="24"/>
          <w:u w:val="none"/>
        </w:rPr>
        <w:t>3. Контроль за выполнением настоящего Постановления возложить на министерство энергетики и жилищно-коммунального хозяйства Самарской области.</w:t>
      </w:r>
    </w:p>
    <w:p>
      <w:pPr>
        <w:pStyle w:val="ConsPlusNormal"/>
        <w:spacing w:before="240" w:after="0"/>
        <w:ind w:left="0" w:firstLine="540"/>
        <w:jc w:val="both"/>
        <w:rPr>
          <w:b w:val="false"/>
          <w:b w:val="false"/>
        </w:rPr>
      </w:pPr>
      <w:r>
        <w:rPr>
          <w:b w:val="false"/>
          <w:i w:val="false"/>
          <w:strike w:val="false"/>
          <w:dstrike w:val="false"/>
          <w:sz w:val="24"/>
          <w:u w:val="none"/>
        </w:rPr>
        <w:t>4. Опубликовать настоящее Постановление в средствах массовой информации.</w:t>
      </w:r>
    </w:p>
    <w:p>
      <w:pPr>
        <w:pStyle w:val="ConsPlusNormal"/>
        <w:spacing w:before="240" w:after="0"/>
        <w:ind w:left="0" w:firstLine="540"/>
        <w:jc w:val="both"/>
        <w:rPr>
          <w:b w:val="false"/>
          <w:b w:val="false"/>
        </w:rPr>
      </w:pPr>
      <w:r>
        <w:rPr>
          <w:b w:val="false"/>
          <w:i w:val="false"/>
          <w:strike w:val="false"/>
          <w:dstrike w:val="false"/>
          <w:sz w:val="24"/>
          <w:u w:val="none"/>
        </w:rPr>
        <w:t>5. Настоящее Постановление вступает в силу со дня его официального опубликования.</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right"/>
        <w:rPr>
          <w:b w:val="false"/>
          <w:b w:val="false"/>
        </w:rPr>
      </w:pPr>
      <w:r>
        <w:rPr>
          <w:b w:val="false"/>
          <w:i w:val="false"/>
          <w:strike w:val="false"/>
          <w:dstrike w:val="false"/>
          <w:sz w:val="24"/>
          <w:u w:val="none"/>
        </w:rPr>
        <w:t>Губернатор</w:t>
      </w:r>
    </w:p>
    <w:p>
      <w:pPr>
        <w:pStyle w:val="ConsPlusNormal"/>
        <w:ind w:left="0" w:hanging="0"/>
        <w:jc w:val="right"/>
        <w:rPr>
          <w:b w:val="false"/>
          <w:b w:val="false"/>
        </w:rPr>
      </w:pPr>
      <w:r>
        <w:rPr>
          <w:b w:val="false"/>
          <w:i w:val="false"/>
          <w:strike w:val="false"/>
          <w:dstrike w:val="false"/>
          <w:sz w:val="24"/>
          <w:u w:val="none"/>
        </w:rPr>
        <w:t>Самарской области</w:t>
      </w:r>
    </w:p>
    <w:p>
      <w:pPr>
        <w:pStyle w:val="ConsPlusNormal"/>
        <w:ind w:left="0" w:hanging="0"/>
        <w:jc w:val="right"/>
        <w:rPr>
          <w:b w:val="false"/>
          <w:b w:val="false"/>
        </w:rPr>
      </w:pPr>
      <w:r>
        <w:rPr>
          <w:b w:val="false"/>
          <w:i w:val="false"/>
          <w:strike w:val="false"/>
          <w:dstrike w:val="false"/>
          <w:sz w:val="24"/>
          <w:u w:val="none"/>
        </w:rPr>
        <w:t>Д.И.АЗАРОВ</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numPr>
          <w:ilvl w:val="0"/>
          <w:numId w:val="0"/>
        </w:numPr>
        <w:ind w:left="0" w:hanging="0"/>
        <w:jc w:val="right"/>
        <w:outlineLvl w:val="0"/>
        <w:rPr>
          <w:b w:val="false"/>
          <w:b w:val="false"/>
        </w:rPr>
      </w:pPr>
      <w:r>
        <w:rPr>
          <w:b w:val="false"/>
          <w:i w:val="false"/>
          <w:strike w:val="false"/>
          <w:dstrike w:val="false"/>
          <w:sz w:val="24"/>
          <w:u w:val="none"/>
        </w:rPr>
        <w:t>Приложение 1</w:t>
      </w:r>
    </w:p>
    <w:p>
      <w:pPr>
        <w:pStyle w:val="ConsPlusNormal"/>
        <w:ind w:left="0" w:hanging="0"/>
        <w:jc w:val="right"/>
        <w:rPr>
          <w:b w:val="false"/>
          <w:b w:val="false"/>
        </w:rPr>
      </w:pPr>
      <w:r>
        <w:rPr>
          <w:b w:val="false"/>
          <w:i w:val="false"/>
          <w:strike w:val="false"/>
          <w:dstrike w:val="false"/>
          <w:sz w:val="24"/>
          <w:u w:val="none"/>
        </w:rPr>
        <w:t>к Постановлению</w:t>
      </w:r>
    </w:p>
    <w:p>
      <w:pPr>
        <w:pStyle w:val="ConsPlusNormal"/>
        <w:ind w:left="0" w:hanging="0"/>
        <w:jc w:val="right"/>
        <w:rPr>
          <w:b w:val="false"/>
          <w:b w:val="false"/>
        </w:rPr>
      </w:pPr>
      <w:r>
        <w:rPr>
          <w:b w:val="false"/>
          <w:i w:val="false"/>
          <w:strike w:val="false"/>
          <w:dstrike w:val="false"/>
          <w:sz w:val="24"/>
          <w:u w:val="none"/>
        </w:rPr>
        <w:t>Правительства Самарской области</w:t>
      </w:r>
    </w:p>
    <w:p>
      <w:pPr>
        <w:pStyle w:val="ConsPlusNormal"/>
        <w:ind w:left="0" w:hanging="0"/>
        <w:jc w:val="right"/>
        <w:rPr>
          <w:b w:val="false"/>
          <w:b w:val="false"/>
        </w:rPr>
      </w:pPr>
      <w:r>
        <w:rPr>
          <w:b w:val="false"/>
          <w:i w:val="false"/>
          <w:strike w:val="false"/>
          <w:dstrike w:val="false"/>
          <w:sz w:val="24"/>
          <w:u w:val="none"/>
        </w:rPr>
        <w:t>от 11 сентября 2019 г. N 636</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Title"/>
        <w:ind w:left="0" w:hanging="0"/>
        <w:jc w:val="center"/>
        <w:rPr>
          <w:b w:val="false"/>
          <w:b w:val="false"/>
        </w:rPr>
      </w:pPr>
      <w:bookmarkStart w:id="0" w:name="Par30"/>
      <w:bookmarkEnd w:id="0"/>
      <w:r>
        <w:rPr>
          <w:b/>
          <w:i w:val="false"/>
          <w:strike w:val="false"/>
          <w:dstrike w:val="false"/>
          <w:sz w:val="24"/>
          <w:u w:val="none"/>
        </w:rPr>
        <w:t>РАЗМЕР</w:t>
      </w:r>
    </w:p>
    <w:p>
      <w:pPr>
        <w:pStyle w:val="ConsPlusTitle"/>
        <w:ind w:left="0" w:hanging="0"/>
        <w:jc w:val="center"/>
        <w:rPr>
          <w:b w:val="false"/>
          <w:b w:val="false"/>
        </w:rPr>
      </w:pPr>
      <w:r>
        <w:rPr>
          <w:b/>
          <w:i w:val="false"/>
          <w:strike w:val="false"/>
          <w:dstrike w:val="false"/>
          <w:sz w:val="24"/>
          <w:u w:val="none"/>
        </w:rPr>
        <w:t>ПРЕДЕЛЬНОЙ СТОИМОСТИ УСЛУГ И (ИЛИ) РАБОТ ПО КАПИТАЛЬНОМУ</w:t>
      </w:r>
    </w:p>
    <w:p>
      <w:pPr>
        <w:pStyle w:val="ConsPlusTitle"/>
        <w:ind w:left="0" w:hanging="0"/>
        <w:jc w:val="center"/>
        <w:rPr>
          <w:b w:val="false"/>
          <w:b w:val="false"/>
        </w:rPr>
      </w:pPr>
      <w:r>
        <w:rPr>
          <w:b/>
          <w:i w:val="false"/>
          <w:strike w:val="false"/>
          <w:dstrike w:val="false"/>
          <w:sz w:val="24"/>
          <w:u w:val="none"/>
        </w:rPr>
        <w:t>РЕМОНТУ ОБЩЕГО ИМУЩЕСТВА В МНОГОКВАРТИРНОМ ДОМЕ, КОТОРАЯ</w:t>
      </w:r>
    </w:p>
    <w:p>
      <w:pPr>
        <w:pStyle w:val="ConsPlusTitle"/>
        <w:ind w:left="0" w:hanging="0"/>
        <w:jc w:val="center"/>
        <w:rPr>
          <w:b w:val="false"/>
          <w:b w:val="false"/>
        </w:rPr>
      </w:pPr>
      <w:r>
        <w:rPr>
          <w:b/>
          <w:i w:val="false"/>
          <w:strike w:val="false"/>
          <w:dstrike w:val="false"/>
          <w:sz w:val="24"/>
          <w:u w:val="none"/>
        </w:rPr>
        <w:t>МОЖЕТ ОПЛАЧИВАТЬСЯ РЕГИОНАЛЬНЫМ ОПЕРАТОРОМ ЗА СЧЕТ СРЕДСТВ</w:t>
      </w:r>
    </w:p>
    <w:p>
      <w:pPr>
        <w:pStyle w:val="ConsPlusTitle"/>
        <w:ind w:left="0" w:hanging="0"/>
        <w:jc w:val="center"/>
        <w:rPr>
          <w:b w:val="false"/>
          <w:b w:val="false"/>
        </w:rPr>
      </w:pPr>
      <w:r>
        <w:rPr>
          <w:b/>
          <w:i w:val="false"/>
          <w:strike w:val="false"/>
          <w:dstrike w:val="false"/>
          <w:sz w:val="24"/>
          <w:u w:val="none"/>
        </w:rPr>
        <w:t>ФОНДА КАПИТАЛЬНОГО РЕМОНТА, СФОРМИРОВАННОГО ИСХОДЯ</w:t>
      </w:r>
    </w:p>
    <w:p>
      <w:pPr>
        <w:pStyle w:val="ConsPlusTitle"/>
        <w:ind w:left="0" w:hanging="0"/>
        <w:jc w:val="center"/>
        <w:rPr>
          <w:b w:val="false"/>
          <w:b w:val="false"/>
        </w:rPr>
      </w:pPr>
      <w:r>
        <w:rPr>
          <w:b/>
          <w:i w:val="false"/>
          <w:strike w:val="false"/>
          <w:dstrike w:val="false"/>
          <w:sz w:val="24"/>
          <w:u w:val="none"/>
        </w:rPr>
        <w:t>ИЗ МИНИМАЛЬНОГО РАЗМЕРА ВЗНОСА НА КАПИТАЛЬНЫЙ РЕМОНТ</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tbl>
      <w:tblPr>
        <w:tblW w:w="8997"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794"/>
        <w:gridCol w:w="4330"/>
        <w:gridCol w:w="2172"/>
        <w:gridCol w:w="1700"/>
      </w:tblGrid>
      <w:tr>
        <w:trPr/>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N п/п</w:t>
            </w:r>
          </w:p>
        </w:tc>
        <w:tc>
          <w:tcPr>
            <w:tcW w:w="43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Наименование услуг и (или) работ по капитальному ремонту</w:t>
            </w:r>
          </w:p>
        </w:tc>
        <w:tc>
          <w:tcPr>
            <w:tcW w:w="21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Единица измерения</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Размер предельной стоимости</w:t>
            </w:r>
          </w:p>
        </w:tc>
      </w:tr>
      <w:tr>
        <w:trPr/>
        <w:tc>
          <w:tcPr>
            <w:tcW w:w="794" w:type="dxa"/>
            <w:tcBorders>
              <w:top w:val="single" w:sz="4" w:space="0" w:color="000000"/>
            </w:tcBorders>
            <w:shd w:fill="auto" w:val="clear"/>
          </w:tcPr>
          <w:p>
            <w:pPr>
              <w:pStyle w:val="ConsPlusNormal"/>
              <w:tabs>
                <w:tab w:val="clear" w:pos="720"/>
              </w:tabs>
              <w:ind w:left="0" w:hanging="0"/>
              <w:jc w:val="center"/>
              <w:rPr>
                <w:b w:val="false"/>
                <w:b w:val="false"/>
              </w:rPr>
            </w:pPr>
            <w:r>
              <w:rPr/>
              <w:t>1.</w:t>
            </w:r>
          </w:p>
        </w:tc>
        <w:tc>
          <w:tcPr>
            <w:tcW w:w="4330" w:type="dxa"/>
            <w:tcBorders>
              <w:top w:val="single" w:sz="4" w:space="0" w:color="000000"/>
            </w:tcBorders>
            <w:shd w:fill="auto" w:val="clear"/>
          </w:tcPr>
          <w:p>
            <w:pPr>
              <w:pStyle w:val="ConsPlusNormal"/>
              <w:tabs>
                <w:tab w:val="clear" w:pos="720"/>
              </w:tabs>
              <w:ind w:left="0" w:hanging="0"/>
              <w:jc w:val="both"/>
              <w:rPr>
                <w:b w:val="false"/>
                <w:b w:val="false"/>
              </w:rPr>
            </w:pPr>
            <w:r>
              <w:rPr/>
              <w:t>Ремонт внутридомовых инженерных систем электро-, тепло-, газо-, водоснабжения, водоотведения, ремонт подвальных помещений, относящихся к общему имуществу в многоквартирном доме</w:t>
            </w:r>
          </w:p>
        </w:tc>
        <w:tc>
          <w:tcPr>
            <w:tcW w:w="2172" w:type="dxa"/>
            <w:tcBorders>
              <w:top w:val="single" w:sz="4" w:space="0" w:color="000000"/>
            </w:tcBorders>
            <w:shd w:fill="auto" w:val="clea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00" w:type="dxa"/>
            <w:tcBorders>
              <w:top w:val="single" w:sz="4" w:space="0" w:color="000000"/>
            </w:tcBorders>
            <w:shd w:fill="auto" w:val="clear"/>
          </w:tcPr>
          <w:p>
            <w:pPr>
              <w:pStyle w:val="ConsPlusNormal"/>
              <w:tabs>
                <w:tab w:val="clear" w:pos="720"/>
              </w:tabs>
              <w:ind w:left="0" w:hanging="0"/>
              <w:jc w:val="center"/>
              <w:rPr>
                <w:b w:val="false"/>
                <w:b w:val="false"/>
              </w:rPr>
            </w:pPr>
            <w:r>
              <w:rPr/>
              <w:t>2 211</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left"/>
              <w:rPr>
                <w:b w:val="false"/>
                <w:b w:val="false"/>
              </w:rPr>
            </w:pPr>
            <w:r>
              <w:rPr/>
              <w:t>В том числе:</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bottom"/>
          </w:tcPr>
          <w:p>
            <w:pPr>
              <w:pStyle w:val="ConsPlusNormal"/>
              <w:tabs>
                <w:tab w:val="clear" w:pos="720"/>
              </w:tabs>
              <w:ind w:left="0" w:hanging="0"/>
              <w:jc w:val="both"/>
              <w:rPr>
                <w:b w:val="false"/>
                <w:b w:val="false"/>
              </w:rPr>
            </w:pPr>
            <w:r>
              <w:rPr/>
              <w:t>ремонт систем электроснабжения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287</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bottom"/>
          </w:tcPr>
          <w:p>
            <w:pPr>
              <w:pStyle w:val="ConsPlusNormal"/>
              <w:tabs>
                <w:tab w:val="clear" w:pos="720"/>
              </w:tabs>
              <w:ind w:left="0" w:hanging="0"/>
              <w:jc w:val="both"/>
              <w:rPr>
                <w:b w:val="false"/>
                <w:b w:val="false"/>
              </w:rPr>
            </w:pPr>
            <w:r>
              <w:rPr/>
              <w:t>ремонт систем теплоснабжения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597</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bottom"/>
          </w:tcPr>
          <w:p>
            <w:pPr>
              <w:pStyle w:val="ConsPlusNormal"/>
              <w:tabs>
                <w:tab w:val="clear" w:pos="720"/>
              </w:tabs>
              <w:ind w:left="0" w:hanging="0"/>
              <w:jc w:val="both"/>
              <w:rPr>
                <w:b w:val="false"/>
                <w:b w:val="false"/>
              </w:rPr>
            </w:pPr>
            <w:r>
              <w:rPr/>
              <w:t>ремонт систем холодного водоснабжения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580</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bottom"/>
          </w:tcPr>
          <w:p>
            <w:pPr>
              <w:pStyle w:val="ConsPlusNormal"/>
              <w:tabs>
                <w:tab w:val="clear" w:pos="720"/>
              </w:tabs>
              <w:ind w:left="0" w:hanging="0"/>
              <w:jc w:val="both"/>
              <w:rPr>
                <w:b w:val="false"/>
                <w:b w:val="false"/>
              </w:rPr>
            </w:pPr>
            <w:r>
              <w:rPr/>
              <w:t>ремонт систем горячего водоснабжения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554</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ремонт систем водоотведения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193</w:t>
            </w:r>
          </w:p>
        </w:tc>
      </w:tr>
      <w:tr>
        <w:trPr/>
        <w:tc>
          <w:tcPr>
            <w:tcW w:w="794" w:type="dxa"/>
            <w:tcBorders/>
            <w:shd w:fill="auto" w:val="clear"/>
          </w:tcPr>
          <w:p>
            <w:pPr>
              <w:pStyle w:val="ConsPlusNormal"/>
              <w:tabs>
                <w:tab w:val="clear" w:pos="720"/>
              </w:tabs>
              <w:ind w:left="0" w:hanging="0"/>
              <w:jc w:val="center"/>
              <w:rPr>
                <w:b w:val="false"/>
                <w:b w:val="false"/>
              </w:rPr>
            </w:pPr>
            <w:r>
              <w:rPr/>
              <w:t>2.</w:t>
            </w:r>
          </w:p>
        </w:tc>
        <w:tc>
          <w:tcPr>
            <w:tcW w:w="4330" w:type="dxa"/>
            <w:tcBorders/>
            <w:shd w:fill="auto" w:val="clear"/>
            <w:vAlign w:val="bottom"/>
          </w:tcPr>
          <w:p>
            <w:pPr>
              <w:pStyle w:val="ConsPlusNormal"/>
              <w:tabs>
                <w:tab w:val="clear" w:pos="720"/>
              </w:tabs>
              <w:ind w:left="0" w:hanging="0"/>
              <w:jc w:val="both"/>
              <w:rPr>
                <w:b w:val="false"/>
                <w:b w:val="false"/>
              </w:rPr>
            </w:pPr>
            <w:r>
              <w:rPr/>
              <w:t>Ремонт внутридомовых инженерных систем электро-, тепло-, газо-, водоснабжения, водоотведения, ремонт подвальных помещений, относящихся к общему имуществу в многоквартирном доме, являющемся или ранее являвшемся общежитием</w:t>
            </w:r>
          </w:p>
        </w:tc>
        <w:tc>
          <w:tcPr>
            <w:tcW w:w="2172" w:type="dxa"/>
            <w:tcBorders/>
            <w:shd w:fill="auto" w:val="clea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00" w:type="dxa"/>
            <w:tcBorders/>
            <w:shd w:fill="auto" w:val="clear"/>
          </w:tcPr>
          <w:p>
            <w:pPr>
              <w:pStyle w:val="ConsPlusNormal"/>
              <w:tabs>
                <w:tab w:val="clear" w:pos="720"/>
              </w:tabs>
              <w:ind w:left="0" w:hanging="0"/>
              <w:jc w:val="center"/>
              <w:rPr>
                <w:b w:val="false"/>
                <w:b w:val="false"/>
              </w:rPr>
            </w:pPr>
            <w:r>
              <w:rPr/>
              <w:t>2 877</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В том числе:</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ремонт систем электроснабжения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373</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ремонт систем теплоснабжения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777</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ремонт систем холодного водоснабжения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755</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ремонт систем горячего водоснабжения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721</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ремонт систем водоотведения</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251</w:t>
            </w:r>
          </w:p>
        </w:tc>
      </w:tr>
      <w:tr>
        <w:trPr/>
        <w:tc>
          <w:tcPr>
            <w:tcW w:w="794" w:type="dxa"/>
            <w:tcBorders/>
            <w:shd w:fill="auto" w:val="clear"/>
          </w:tcPr>
          <w:p>
            <w:pPr>
              <w:pStyle w:val="ConsPlusNormal"/>
              <w:tabs>
                <w:tab w:val="clear" w:pos="720"/>
              </w:tabs>
              <w:ind w:left="0" w:hanging="0"/>
              <w:jc w:val="center"/>
              <w:rPr>
                <w:b w:val="false"/>
                <w:b w:val="false"/>
              </w:rPr>
            </w:pPr>
            <w:r>
              <w:rPr/>
              <w:t>3.</w:t>
            </w:r>
          </w:p>
        </w:tc>
        <w:tc>
          <w:tcPr>
            <w:tcW w:w="4330" w:type="dxa"/>
            <w:tcBorders/>
            <w:shd w:fill="auto" w:val="clear"/>
          </w:tcPr>
          <w:p>
            <w:pPr>
              <w:pStyle w:val="ConsPlusNormal"/>
              <w:tabs>
                <w:tab w:val="clear" w:pos="720"/>
              </w:tabs>
              <w:ind w:left="0" w:hanging="0"/>
              <w:jc w:val="both"/>
              <w:rPr>
                <w:b w:val="false"/>
                <w:b w:val="false"/>
              </w:rPr>
            </w:pPr>
            <w:r>
              <w:rPr/>
              <w:t>Ремонт подвальных помещений, относящихся к общему имуществу в многоквартирном доме, с заменой и (или) восстановлением отдельных частей несущих строительных конструкций</w:t>
            </w:r>
          </w:p>
        </w:tc>
        <w:tc>
          <w:tcPr>
            <w:tcW w:w="2172" w:type="dxa"/>
            <w:tcBorders/>
            <w:shd w:fill="auto" w:val="clea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00" w:type="dxa"/>
            <w:tcBorders/>
            <w:shd w:fill="auto" w:val="clear"/>
          </w:tcPr>
          <w:p>
            <w:pPr>
              <w:pStyle w:val="ConsPlusNormal"/>
              <w:tabs>
                <w:tab w:val="clear" w:pos="720"/>
              </w:tabs>
              <w:ind w:left="0" w:hanging="0"/>
              <w:jc w:val="center"/>
              <w:rPr>
                <w:b w:val="false"/>
                <w:b w:val="false"/>
              </w:rPr>
            </w:pPr>
            <w:r>
              <w:rPr/>
              <w:t>385</w:t>
            </w:r>
          </w:p>
        </w:tc>
      </w:tr>
      <w:tr>
        <w:trPr/>
        <w:tc>
          <w:tcPr>
            <w:tcW w:w="794" w:type="dxa"/>
            <w:tcBorders/>
            <w:shd w:fill="auto" w:val="clear"/>
          </w:tcPr>
          <w:p>
            <w:pPr>
              <w:pStyle w:val="ConsPlusNormal"/>
              <w:tabs>
                <w:tab w:val="clear" w:pos="720"/>
              </w:tabs>
              <w:ind w:left="0" w:hanging="0"/>
              <w:jc w:val="center"/>
              <w:rPr>
                <w:b w:val="false"/>
                <w:b w:val="false"/>
              </w:rPr>
            </w:pPr>
            <w:r>
              <w:rPr/>
              <w:t>4.</w:t>
            </w:r>
          </w:p>
        </w:tc>
        <w:tc>
          <w:tcPr>
            <w:tcW w:w="4330" w:type="dxa"/>
            <w:tcBorders/>
            <w:shd w:fill="auto" w:val="clear"/>
          </w:tcPr>
          <w:p>
            <w:pPr>
              <w:pStyle w:val="ConsPlusNormal"/>
              <w:tabs>
                <w:tab w:val="clear" w:pos="720"/>
              </w:tabs>
              <w:ind w:left="0" w:hanging="0"/>
              <w:jc w:val="both"/>
              <w:rPr>
                <w:b w:val="false"/>
                <w:b w:val="false"/>
              </w:rPr>
            </w:pPr>
            <w:r>
              <w:rPr/>
              <w:t>Ремонт, замена, модернизация лифтов, ремонт лифтовых шахт, машинных и блочных помещений:</w:t>
            </w:r>
          </w:p>
        </w:tc>
        <w:tc>
          <w:tcPr>
            <w:tcW w:w="2172" w:type="dxa"/>
            <w:tcBorders/>
            <w:shd w:fill="auto" w:val="clear"/>
          </w:tcPr>
          <w:p>
            <w:pPr>
              <w:pStyle w:val="ConsPlusNormal"/>
              <w:tabs>
                <w:tab w:val="clear" w:pos="720"/>
              </w:tabs>
              <w:ind w:left="0" w:hanging="0"/>
              <w:jc w:val="center"/>
              <w:rPr>
                <w:b w:val="false"/>
                <w:b w:val="false"/>
              </w:rPr>
            </w:pPr>
            <w:r>
              <w:rPr/>
              <w:t>руб./лифт</w:t>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лифт до 14 остановок:</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грузоподъемностью до 400 кг включительно</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1 933 200</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грузоподъемностью свыше 400 кг</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2 470 200</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лифт от 15 до 17 остановок:</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грузоподъемностью до 400 кг включительно</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2 138 334</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грузоподъемностью свыше 400 кг</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2 675 334</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лифт от 18 и более остановок:</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грузоподъемностью до 400 кг включительно</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2 612 000</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грузоподъемностью свыше 400 кг</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2 953 384</w:t>
            </w:r>
          </w:p>
        </w:tc>
      </w:tr>
      <w:tr>
        <w:trPr/>
        <w:tc>
          <w:tcPr>
            <w:tcW w:w="794" w:type="dxa"/>
            <w:tcBorders/>
            <w:shd w:fill="auto" w:val="clear"/>
          </w:tcPr>
          <w:p>
            <w:pPr>
              <w:pStyle w:val="ConsPlusNormal"/>
              <w:tabs>
                <w:tab w:val="clear" w:pos="720"/>
              </w:tabs>
              <w:ind w:left="0" w:hanging="0"/>
              <w:jc w:val="center"/>
              <w:rPr>
                <w:b w:val="false"/>
                <w:b w:val="false"/>
              </w:rPr>
            </w:pPr>
            <w:r>
              <w:rPr/>
              <w:t>5.</w:t>
            </w:r>
          </w:p>
        </w:tc>
        <w:tc>
          <w:tcPr>
            <w:tcW w:w="4330" w:type="dxa"/>
            <w:tcBorders/>
            <w:shd w:fill="auto" w:val="clear"/>
          </w:tcPr>
          <w:p>
            <w:pPr>
              <w:pStyle w:val="ConsPlusNormal"/>
              <w:tabs>
                <w:tab w:val="clear" w:pos="720"/>
              </w:tabs>
              <w:ind w:left="0" w:hanging="0"/>
              <w:jc w:val="both"/>
              <w:rPr>
                <w:b w:val="false"/>
                <w:b w:val="false"/>
              </w:rPr>
            </w:pPr>
            <w:r>
              <w:rPr/>
              <w:t>Ремонт крыши, в том числе переустройство невентилируемой крыши на вентилируемую крышу, устройство выходов на кровлю:</w:t>
            </w:r>
          </w:p>
        </w:tc>
        <w:tc>
          <w:tcPr>
            <w:tcW w:w="2172" w:type="dxa"/>
            <w:tcBorders/>
            <w:shd w:fill="auto" w:val="clear"/>
          </w:tcPr>
          <w:p>
            <w:pPr>
              <w:pStyle w:val="ConsPlusNormal"/>
              <w:tabs>
                <w:tab w:val="clear" w:pos="720"/>
              </w:tabs>
              <w:ind w:left="0" w:hanging="0"/>
              <w:jc w:val="center"/>
              <w:rPr>
                <w:b w:val="false"/>
                <w:b w:val="false"/>
              </w:rPr>
            </w:pPr>
            <w:r>
              <w:rPr/>
              <w:t>руб./кв. метр покрытия крыши</w:t>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center"/>
          </w:tcPr>
          <w:p>
            <w:pPr>
              <w:pStyle w:val="ConsPlusNormal"/>
              <w:tabs>
                <w:tab w:val="clear" w:pos="720"/>
              </w:tabs>
              <w:ind w:left="0" w:hanging="0"/>
              <w:jc w:val="both"/>
              <w:rPr>
                <w:b w:val="false"/>
                <w:b w:val="false"/>
              </w:rPr>
            </w:pPr>
            <w:r>
              <w:rPr/>
              <w:t>для скатных крыш</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vAlign w:val="center"/>
          </w:tcPr>
          <w:p>
            <w:pPr>
              <w:pStyle w:val="ConsPlusNormal"/>
              <w:tabs>
                <w:tab w:val="clear" w:pos="720"/>
              </w:tabs>
              <w:ind w:left="0" w:hanging="0"/>
              <w:jc w:val="center"/>
              <w:rPr>
                <w:b w:val="false"/>
                <w:b w:val="false"/>
              </w:rPr>
            </w:pPr>
            <w:r>
              <w:rPr/>
              <w:t>2 670</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center"/>
          </w:tcPr>
          <w:p>
            <w:pPr>
              <w:pStyle w:val="ConsPlusNormal"/>
              <w:tabs>
                <w:tab w:val="clear" w:pos="720"/>
              </w:tabs>
              <w:ind w:left="0" w:hanging="0"/>
              <w:jc w:val="both"/>
              <w:rPr>
                <w:b w:val="false"/>
                <w:b w:val="false"/>
              </w:rPr>
            </w:pPr>
            <w:r>
              <w:rPr/>
              <w:t>для плоских крыш</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vAlign w:val="center"/>
          </w:tcPr>
          <w:p>
            <w:pPr>
              <w:pStyle w:val="ConsPlusNormal"/>
              <w:tabs>
                <w:tab w:val="clear" w:pos="720"/>
              </w:tabs>
              <w:ind w:left="0" w:hanging="0"/>
              <w:jc w:val="center"/>
              <w:rPr>
                <w:b w:val="false"/>
                <w:b w:val="false"/>
              </w:rPr>
            </w:pPr>
            <w:r>
              <w:rPr/>
              <w:t>1 701</w:t>
            </w:r>
          </w:p>
        </w:tc>
      </w:tr>
      <w:tr>
        <w:trPr/>
        <w:tc>
          <w:tcPr>
            <w:tcW w:w="794" w:type="dxa"/>
            <w:tcBorders/>
            <w:shd w:fill="auto" w:val="clear"/>
          </w:tcPr>
          <w:p>
            <w:pPr>
              <w:pStyle w:val="ConsPlusNormal"/>
              <w:tabs>
                <w:tab w:val="clear" w:pos="720"/>
              </w:tabs>
              <w:ind w:left="0" w:hanging="0"/>
              <w:jc w:val="center"/>
              <w:rPr>
                <w:b w:val="false"/>
                <w:b w:val="false"/>
              </w:rPr>
            </w:pPr>
            <w:r>
              <w:rPr/>
              <w:t>6.</w:t>
            </w:r>
          </w:p>
        </w:tc>
        <w:tc>
          <w:tcPr>
            <w:tcW w:w="4330" w:type="dxa"/>
            <w:tcBorders/>
            <w:shd w:fill="auto" w:val="clear"/>
            <w:vAlign w:val="center"/>
          </w:tcPr>
          <w:p>
            <w:pPr>
              <w:pStyle w:val="ConsPlusNormal"/>
              <w:tabs>
                <w:tab w:val="clear" w:pos="720"/>
              </w:tabs>
              <w:ind w:left="0" w:hanging="0"/>
              <w:jc w:val="both"/>
              <w:rPr>
                <w:b w:val="false"/>
                <w:b w:val="false"/>
              </w:rPr>
            </w:pPr>
            <w:r>
              <w:rPr/>
              <w:t>Ремонт крыши с заменой и (или) восстановлением отдельных частей отдельных строительных конструкций</w:t>
            </w:r>
          </w:p>
        </w:tc>
        <w:tc>
          <w:tcPr>
            <w:tcW w:w="2172" w:type="dxa"/>
            <w:tcBorders/>
            <w:shd w:fill="auto" w:val="clear"/>
          </w:tcPr>
          <w:p>
            <w:pPr>
              <w:pStyle w:val="ConsPlusNormal"/>
              <w:tabs>
                <w:tab w:val="clear" w:pos="720"/>
              </w:tabs>
              <w:ind w:left="0" w:hanging="0"/>
              <w:jc w:val="center"/>
              <w:rPr>
                <w:b w:val="false"/>
                <w:b w:val="false"/>
              </w:rPr>
            </w:pPr>
            <w:r>
              <w:rPr/>
              <w:t>руб./кв. метр покрытия крыши</w:t>
            </w:r>
          </w:p>
        </w:tc>
        <w:tc>
          <w:tcPr>
            <w:tcW w:w="1700" w:type="dxa"/>
            <w:tcBorders/>
            <w:shd w:fill="auto" w:val="clear"/>
          </w:tcPr>
          <w:p>
            <w:pPr>
              <w:pStyle w:val="ConsPlusNormal"/>
              <w:tabs>
                <w:tab w:val="clear" w:pos="720"/>
              </w:tabs>
              <w:ind w:left="0" w:hanging="0"/>
              <w:jc w:val="center"/>
              <w:rPr>
                <w:b w:val="false"/>
                <w:b w:val="false"/>
              </w:rPr>
            </w:pPr>
            <w:r>
              <w:rPr/>
              <w:t>4 098</w:t>
            </w:r>
          </w:p>
        </w:tc>
      </w:tr>
      <w:tr>
        <w:trPr/>
        <w:tc>
          <w:tcPr>
            <w:tcW w:w="794" w:type="dxa"/>
            <w:tcBorders/>
            <w:shd w:fill="auto" w:val="clear"/>
          </w:tcPr>
          <w:p>
            <w:pPr>
              <w:pStyle w:val="ConsPlusNormal"/>
              <w:tabs>
                <w:tab w:val="clear" w:pos="720"/>
              </w:tabs>
              <w:ind w:left="0" w:hanging="0"/>
              <w:jc w:val="center"/>
              <w:rPr>
                <w:b w:val="false"/>
                <w:b w:val="false"/>
              </w:rPr>
            </w:pPr>
            <w:r>
              <w:rPr/>
              <w:t>7.</w:t>
            </w:r>
          </w:p>
        </w:tc>
        <w:tc>
          <w:tcPr>
            <w:tcW w:w="4330" w:type="dxa"/>
            <w:tcBorders/>
            <w:shd w:fill="auto" w:val="clear"/>
          </w:tcPr>
          <w:p>
            <w:pPr>
              <w:pStyle w:val="ConsPlusNormal"/>
              <w:tabs>
                <w:tab w:val="clear" w:pos="720"/>
              </w:tabs>
              <w:ind w:left="0" w:hanging="0"/>
              <w:jc w:val="both"/>
              <w:rPr>
                <w:b w:val="false"/>
                <w:b w:val="false"/>
              </w:rPr>
            </w:pPr>
            <w:r>
              <w:rPr/>
              <w:t>Ремонт фасада:</w:t>
            </w:r>
          </w:p>
        </w:tc>
        <w:tc>
          <w:tcPr>
            <w:tcW w:w="2172" w:type="dxa"/>
            <w:tcBorders/>
            <w:shd w:fill="auto" w:val="clear"/>
            <w:vAlign w:val="cente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00" w:type="dxa"/>
            <w:tcBorders/>
            <w:shd w:fill="auto" w:val="clear"/>
          </w:tcPr>
          <w:p>
            <w:pPr>
              <w:pStyle w:val="ConsPlusNormal"/>
              <w:tabs>
                <w:tab w:val="clear" w:pos="720"/>
              </w:tabs>
              <w:ind w:left="0" w:hanging="0"/>
              <w:jc w:val="left"/>
              <w:rPr>
                <w:b w:val="false"/>
                <w:b w:val="false"/>
              </w:rPr>
            </w:pPr>
            <w:r>
              <w:rPr>
                <w:b w:val="false"/>
              </w:rPr>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tcPr>
          <w:p>
            <w:pPr>
              <w:pStyle w:val="ConsPlusNormal"/>
              <w:tabs>
                <w:tab w:val="clear" w:pos="720"/>
              </w:tabs>
              <w:ind w:left="0" w:hanging="0"/>
              <w:jc w:val="both"/>
              <w:rPr>
                <w:b w:val="false"/>
                <w:b w:val="false"/>
              </w:rPr>
            </w:pPr>
            <w:r>
              <w:rPr/>
              <w:t>герметизация и ремонт межпанельных швов</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567</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center"/>
          </w:tcPr>
          <w:p>
            <w:pPr>
              <w:pStyle w:val="ConsPlusNormal"/>
              <w:tabs>
                <w:tab w:val="clear" w:pos="720"/>
              </w:tabs>
              <w:ind w:left="0" w:hanging="0"/>
              <w:jc w:val="both"/>
              <w:rPr>
                <w:b w:val="false"/>
                <w:b w:val="false"/>
              </w:rPr>
            </w:pPr>
            <w:r>
              <w:rPr/>
              <w:t>оштукатуривание и окраска фасадов</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806</w:t>
            </w:r>
          </w:p>
        </w:tc>
      </w:tr>
      <w:tr>
        <w:trPr/>
        <w:tc>
          <w:tcPr>
            <w:tcW w:w="794" w:type="dxa"/>
            <w:tcBorders/>
            <w:shd w:fill="auto" w:val="clear"/>
          </w:tcPr>
          <w:p>
            <w:pPr>
              <w:pStyle w:val="ConsPlusNormal"/>
              <w:tabs>
                <w:tab w:val="clear" w:pos="720"/>
              </w:tabs>
              <w:ind w:left="0" w:hanging="0"/>
              <w:jc w:val="left"/>
              <w:rPr>
                <w:b w:val="false"/>
                <w:b w:val="false"/>
              </w:rPr>
            </w:pPr>
            <w:r>
              <w:rPr>
                <w:b w:val="false"/>
              </w:rPr>
            </w:r>
          </w:p>
        </w:tc>
        <w:tc>
          <w:tcPr>
            <w:tcW w:w="4330" w:type="dxa"/>
            <w:tcBorders/>
            <w:shd w:fill="auto" w:val="clear"/>
            <w:vAlign w:val="center"/>
          </w:tcPr>
          <w:p>
            <w:pPr>
              <w:pStyle w:val="ConsPlusNormal"/>
              <w:tabs>
                <w:tab w:val="clear" w:pos="720"/>
              </w:tabs>
              <w:ind w:left="0" w:hanging="0"/>
              <w:jc w:val="both"/>
              <w:rPr>
                <w:b w:val="false"/>
                <w:b w:val="false"/>
              </w:rPr>
            </w:pPr>
            <w:r>
              <w:rPr/>
              <w:t>оштукатуривание и окраска фасадов с ремонтом балконных плит, ограждений и отмостки</w:t>
            </w:r>
          </w:p>
        </w:tc>
        <w:tc>
          <w:tcPr>
            <w:tcW w:w="2172" w:type="dxa"/>
            <w:tcBorders/>
            <w:shd w:fill="auto" w:val="clear"/>
          </w:tcPr>
          <w:p>
            <w:pPr>
              <w:pStyle w:val="ConsPlusNormal"/>
              <w:tabs>
                <w:tab w:val="clear" w:pos="720"/>
              </w:tabs>
              <w:ind w:left="0" w:hanging="0"/>
              <w:jc w:val="left"/>
              <w:rPr>
                <w:b w:val="false"/>
                <w:b w:val="false"/>
              </w:rPr>
            </w:pPr>
            <w:r>
              <w:rPr>
                <w:b w:val="false"/>
              </w:rPr>
            </w:r>
          </w:p>
        </w:tc>
        <w:tc>
          <w:tcPr>
            <w:tcW w:w="1700" w:type="dxa"/>
            <w:tcBorders/>
            <w:shd w:fill="auto" w:val="clear"/>
          </w:tcPr>
          <w:p>
            <w:pPr>
              <w:pStyle w:val="ConsPlusNormal"/>
              <w:tabs>
                <w:tab w:val="clear" w:pos="720"/>
              </w:tabs>
              <w:ind w:left="0" w:hanging="0"/>
              <w:jc w:val="center"/>
              <w:rPr>
                <w:b w:val="false"/>
                <w:b w:val="false"/>
              </w:rPr>
            </w:pPr>
            <w:r>
              <w:rPr/>
              <w:t>927</w:t>
            </w:r>
          </w:p>
        </w:tc>
      </w:tr>
      <w:tr>
        <w:trPr/>
        <w:tc>
          <w:tcPr>
            <w:tcW w:w="794" w:type="dxa"/>
            <w:tcBorders/>
            <w:shd w:fill="auto" w:val="clear"/>
          </w:tcPr>
          <w:p>
            <w:pPr>
              <w:pStyle w:val="ConsPlusNormal"/>
              <w:tabs>
                <w:tab w:val="clear" w:pos="720"/>
              </w:tabs>
              <w:ind w:left="0" w:hanging="0"/>
              <w:jc w:val="center"/>
              <w:rPr>
                <w:b w:val="false"/>
                <w:b w:val="false"/>
              </w:rPr>
            </w:pPr>
            <w:r>
              <w:rPr/>
              <w:t>8.</w:t>
            </w:r>
          </w:p>
        </w:tc>
        <w:tc>
          <w:tcPr>
            <w:tcW w:w="4330" w:type="dxa"/>
            <w:tcBorders/>
            <w:shd w:fill="auto" w:val="clear"/>
          </w:tcPr>
          <w:p>
            <w:pPr>
              <w:pStyle w:val="ConsPlusNormal"/>
              <w:tabs>
                <w:tab w:val="clear" w:pos="720"/>
              </w:tabs>
              <w:ind w:left="0" w:hanging="0"/>
              <w:jc w:val="both"/>
              <w:rPr>
                <w:b w:val="false"/>
                <w:b w:val="false"/>
              </w:rPr>
            </w:pPr>
            <w:r>
              <w:rPr/>
              <w:t>Ремонт фасада с заменой и (или) восстановлением отдельных частей несущих строительных конструкций</w:t>
            </w:r>
          </w:p>
        </w:tc>
        <w:tc>
          <w:tcPr>
            <w:tcW w:w="2172" w:type="dxa"/>
            <w:tcBorders/>
            <w:shd w:fill="auto" w:val="clear"/>
            <w:vAlign w:val="cente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00" w:type="dxa"/>
            <w:tcBorders/>
            <w:shd w:fill="auto" w:val="clear"/>
          </w:tcPr>
          <w:p>
            <w:pPr>
              <w:pStyle w:val="ConsPlusNormal"/>
              <w:tabs>
                <w:tab w:val="clear" w:pos="720"/>
              </w:tabs>
              <w:ind w:left="0" w:hanging="0"/>
              <w:jc w:val="center"/>
              <w:rPr>
                <w:b w:val="false"/>
                <w:b w:val="false"/>
              </w:rPr>
            </w:pPr>
            <w:r>
              <w:rPr/>
              <w:t>3 167</w:t>
            </w:r>
          </w:p>
        </w:tc>
      </w:tr>
      <w:tr>
        <w:trPr/>
        <w:tc>
          <w:tcPr>
            <w:tcW w:w="794" w:type="dxa"/>
            <w:tcBorders/>
            <w:shd w:fill="auto" w:val="clear"/>
          </w:tcPr>
          <w:p>
            <w:pPr>
              <w:pStyle w:val="ConsPlusNormal"/>
              <w:tabs>
                <w:tab w:val="clear" w:pos="720"/>
              </w:tabs>
              <w:ind w:left="0" w:hanging="0"/>
              <w:jc w:val="center"/>
              <w:rPr>
                <w:b w:val="false"/>
                <w:b w:val="false"/>
              </w:rPr>
            </w:pPr>
            <w:r>
              <w:rPr/>
              <w:t>9.</w:t>
            </w:r>
          </w:p>
        </w:tc>
        <w:tc>
          <w:tcPr>
            <w:tcW w:w="4330" w:type="dxa"/>
            <w:tcBorders/>
            <w:shd w:fill="auto" w:val="clear"/>
          </w:tcPr>
          <w:p>
            <w:pPr>
              <w:pStyle w:val="ConsPlusNormal"/>
              <w:tabs>
                <w:tab w:val="clear" w:pos="720"/>
              </w:tabs>
              <w:ind w:left="0" w:hanging="0"/>
              <w:jc w:val="both"/>
              <w:rPr>
                <w:b w:val="false"/>
                <w:b w:val="false"/>
              </w:rPr>
            </w:pPr>
            <w:r>
              <w:rPr/>
              <w:t>Ремонт фундамента многоквартирного дома</w:t>
            </w:r>
          </w:p>
        </w:tc>
        <w:tc>
          <w:tcPr>
            <w:tcW w:w="2172" w:type="dxa"/>
            <w:tcBorders/>
            <w:shd w:fill="auto" w:val="clear"/>
            <w:vAlign w:val="bottom"/>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00" w:type="dxa"/>
            <w:tcBorders/>
            <w:shd w:fill="auto" w:val="clear"/>
          </w:tcPr>
          <w:p>
            <w:pPr>
              <w:pStyle w:val="ConsPlusNormal"/>
              <w:tabs>
                <w:tab w:val="clear" w:pos="720"/>
              </w:tabs>
              <w:ind w:left="0" w:hanging="0"/>
              <w:jc w:val="center"/>
              <w:rPr>
                <w:b w:val="false"/>
                <w:b w:val="false"/>
              </w:rPr>
            </w:pPr>
            <w:r>
              <w:rPr/>
              <w:t>3 958</w:t>
            </w:r>
          </w:p>
        </w:tc>
      </w:tr>
    </w:tbl>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numPr>
          <w:ilvl w:val="0"/>
          <w:numId w:val="0"/>
        </w:numPr>
        <w:ind w:left="0" w:hanging="0"/>
        <w:jc w:val="right"/>
        <w:outlineLvl w:val="0"/>
        <w:rPr>
          <w:b w:val="false"/>
          <w:b w:val="false"/>
        </w:rPr>
      </w:pPr>
      <w:r>
        <w:rPr>
          <w:b w:val="false"/>
          <w:i w:val="false"/>
          <w:strike w:val="false"/>
          <w:dstrike w:val="false"/>
          <w:sz w:val="24"/>
          <w:u w:val="none"/>
        </w:rPr>
        <w:t>Приложение 2</w:t>
      </w:r>
    </w:p>
    <w:p>
      <w:pPr>
        <w:pStyle w:val="ConsPlusNormal"/>
        <w:ind w:left="0" w:hanging="0"/>
        <w:jc w:val="right"/>
        <w:rPr>
          <w:b w:val="false"/>
          <w:b w:val="false"/>
        </w:rPr>
      </w:pPr>
      <w:r>
        <w:rPr>
          <w:b w:val="false"/>
          <w:i w:val="false"/>
          <w:strike w:val="false"/>
          <w:dstrike w:val="false"/>
          <w:sz w:val="24"/>
          <w:u w:val="none"/>
        </w:rPr>
        <w:t>к Постановлению</w:t>
      </w:r>
    </w:p>
    <w:p>
      <w:pPr>
        <w:pStyle w:val="ConsPlusNormal"/>
        <w:ind w:left="0" w:hanging="0"/>
        <w:jc w:val="right"/>
        <w:rPr>
          <w:b w:val="false"/>
          <w:b w:val="false"/>
        </w:rPr>
      </w:pPr>
      <w:r>
        <w:rPr>
          <w:b w:val="false"/>
          <w:i w:val="false"/>
          <w:strike w:val="false"/>
          <w:dstrike w:val="false"/>
          <w:sz w:val="24"/>
          <w:u w:val="none"/>
        </w:rPr>
        <w:t>Правительства Самарской области</w:t>
      </w:r>
    </w:p>
    <w:p>
      <w:pPr>
        <w:pStyle w:val="ConsPlusNormal"/>
        <w:ind w:left="0" w:hanging="0"/>
        <w:jc w:val="right"/>
        <w:rPr>
          <w:b w:val="false"/>
          <w:b w:val="false"/>
        </w:rPr>
      </w:pPr>
      <w:r>
        <w:rPr>
          <w:b w:val="false"/>
          <w:i w:val="false"/>
          <w:strike w:val="false"/>
          <w:dstrike w:val="false"/>
          <w:sz w:val="24"/>
          <w:u w:val="none"/>
        </w:rPr>
        <w:t>от 11 сентября 2019 г. N 636</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Title"/>
        <w:ind w:left="0" w:hanging="0"/>
        <w:jc w:val="center"/>
        <w:rPr>
          <w:b w:val="false"/>
          <w:b w:val="false"/>
        </w:rPr>
      </w:pPr>
      <w:bookmarkStart w:id="1" w:name="Par191"/>
      <w:bookmarkEnd w:id="1"/>
      <w:r>
        <w:rPr>
          <w:b/>
          <w:i w:val="false"/>
          <w:strike w:val="false"/>
          <w:dstrike w:val="false"/>
          <w:sz w:val="24"/>
          <w:u w:val="none"/>
        </w:rPr>
        <w:t>РАЗМЕР</w:t>
      </w:r>
    </w:p>
    <w:p>
      <w:pPr>
        <w:pStyle w:val="ConsPlusTitle"/>
        <w:ind w:left="0" w:hanging="0"/>
        <w:jc w:val="center"/>
        <w:rPr>
          <w:b w:val="false"/>
          <w:b w:val="false"/>
        </w:rPr>
      </w:pPr>
      <w:r>
        <w:rPr>
          <w:b/>
          <w:i w:val="false"/>
          <w:strike w:val="false"/>
          <w:dstrike w:val="false"/>
          <w:sz w:val="24"/>
          <w:u w:val="none"/>
        </w:rPr>
        <w:t>ПРЕДЕЛЬНОЙ СТОИМОСТИ УСЛУГ И (ИЛИ) РАБОТ ПО КАПИТАЛЬНОМУ</w:t>
      </w:r>
    </w:p>
    <w:p>
      <w:pPr>
        <w:pStyle w:val="ConsPlusTitle"/>
        <w:ind w:left="0" w:hanging="0"/>
        <w:jc w:val="center"/>
        <w:rPr>
          <w:b w:val="false"/>
          <w:b w:val="false"/>
        </w:rPr>
      </w:pPr>
      <w:r>
        <w:rPr>
          <w:b/>
          <w:i w:val="false"/>
          <w:strike w:val="false"/>
          <w:dstrike w:val="false"/>
          <w:sz w:val="24"/>
          <w:u w:val="none"/>
        </w:rPr>
        <w:t>РЕМОНТУ ОБЩЕГО ИМУЩЕСТВА В МНОГОКВАРТИРНОМ ДОМЕ, ВКЛЮЧЕННОМ</w:t>
      </w:r>
    </w:p>
    <w:p>
      <w:pPr>
        <w:pStyle w:val="ConsPlusTitle"/>
        <w:ind w:left="0" w:hanging="0"/>
        <w:jc w:val="center"/>
        <w:rPr>
          <w:b w:val="false"/>
          <w:b w:val="false"/>
        </w:rPr>
      </w:pPr>
      <w:r>
        <w:rPr>
          <w:b/>
          <w:i w:val="false"/>
          <w:strike w:val="false"/>
          <w:dstrike w:val="false"/>
          <w:sz w:val="24"/>
          <w:u w:val="none"/>
        </w:rPr>
        <w:t>В ЕДИНЫЙ ГОСУДАРСТВЕННЫЙ РЕЕСТР ОБЪЕКТОВ КУЛЬТУРНОГО</w:t>
      </w:r>
    </w:p>
    <w:p>
      <w:pPr>
        <w:pStyle w:val="ConsPlusTitle"/>
        <w:ind w:left="0" w:hanging="0"/>
        <w:jc w:val="center"/>
        <w:rPr>
          <w:b w:val="false"/>
          <w:b w:val="false"/>
        </w:rPr>
      </w:pPr>
      <w:r>
        <w:rPr>
          <w:b/>
          <w:i w:val="false"/>
          <w:strike w:val="false"/>
          <w:dstrike w:val="false"/>
          <w:sz w:val="24"/>
          <w:u w:val="none"/>
        </w:rPr>
        <w:t>НАСЛЕДИЯ (ПАМЯТНИКОВ ИСТОРИИ И КУЛЬТУРЫ) НАРОДОВ</w:t>
      </w:r>
    </w:p>
    <w:p>
      <w:pPr>
        <w:pStyle w:val="ConsPlusTitle"/>
        <w:ind w:left="0" w:hanging="0"/>
        <w:jc w:val="center"/>
        <w:rPr>
          <w:b w:val="false"/>
          <w:b w:val="false"/>
        </w:rPr>
      </w:pPr>
      <w:r>
        <w:rPr>
          <w:b/>
          <w:i w:val="false"/>
          <w:strike w:val="false"/>
          <w:dstrike w:val="false"/>
          <w:sz w:val="24"/>
          <w:u w:val="none"/>
        </w:rPr>
        <w:t>РОССИЙСКОЙ ФЕДЕРАЦИИ ИЛИ ЯВЛЯЮЩЕМСЯ ВЫЯВЛЕННЫМ ОБЪЕКТОМ</w:t>
      </w:r>
    </w:p>
    <w:p>
      <w:pPr>
        <w:pStyle w:val="ConsPlusTitle"/>
        <w:ind w:left="0" w:hanging="0"/>
        <w:jc w:val="center"/>
        <w:rPr>
          <w:b w:val="false"/>
          <w:b w:val="false"/>
        </w:rPr>
      </w:pPr>
      <w:r>
        <w:rPr>
          <w:b/>
          <w:i w:val="false"/>
          <w:strike w:val="false"/>
          <w:dstrike w:val="false"/>
          <w:sz w:val="24"/>
          <w:u w:val="none"/>
        </w:rPr>
        <w:t>КУЛЬТУРНОГО НАСЛЕДИЯ, КОТОРАЯ МОЖЕТ ОПЛАЧИВАТЬСЯ</w:t>
      </w:r>
    </w:p>
    <w:p>
      <w:pPr>
        <w:pStyle w:val="ConsPlusTitle"/>
        <w:ind w:left="0" w:hanging="0"/>
        <w:jc w:val="center"/>
        <w:rPr>
          <w:b w:val="false"/>
          <w:b w:val="false"/>
        </w:rPr>
      </w:pPr>
      <w:r>
        <w:rPr>
          <w:b/>
          <w:i w:val="false"/>
          <w:strike w:val="false"/>
          <w:dstrike w:val="false"/>
          <w:sz w:val="24"/>
          <w:u w:val="none"/>
        </w:rPr>
        <w:t>РЕГИОНАЛЬНЫМ ОПЕРАТОРОМ ЗА СЧЕТ СРЕДСТВ ФОНДА КАПИТАЛЬНОГО</w:t>
      </w:r>
    </w:p>
    <w:p>
      <w:pPr>
        <w:pStyle w:val="ConsPlusTitle"/>
        <w:ind w:left="0" w:hanging="0"/>
        <w:jc w:val="center"/>
        <w:rPr>
          <w:b w:val="false"/>
          <w:b w:val="false"/>
        </w:rPr>
      </w:pPr>
      <w:r>
        <w:rPr>
          <w:b/>
          <w:i w:val="false"/>
          <w:strike w:val="false"/>
          <w:dstrike w:val="false"/>
          <w:sz w:val="24"/>
          <w:u w:val="none"/>
        </w:rPr>
        <w:t>РЕМОНТА, СФОРМИРОВАННОГО ИСХОДЯ ИЗ МИНИМАЛЬНОГО РАЗМЕРА</w:t>
      </w:r>
    </w:p>
    <w:p>
      <w:pPr>
        <w:pStyle w:val="ConsPlusTitle"/>
        <w:ind w:left="0" w:hanging="0"/>
        <w:jc w:val="center"/>
        <w:rPr>
          <w:b w:val="false"/>
          <w:b w:val="false"/>
        </w:rPr>
      </w:pPr>
      <w:r>
        <w:rPr>
          <w:b/>
          <w:i w:val="false"/>
          <w:strike w:val="false"/>
          <w:dstrike w:val="false"/>
          <w:sz w:val="24"/>
          <w:u w:val="none"/>
        </w:rPr>
        <w:t>ВЗНОСА НА КАПИТАЛЬНЫЙ РЕМОНТ</w:t>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tbl>
      <w:tblPr>
        <w:tblW w:w="9042"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793"/>
        <w:gridCol w:w="4502"/>
        <w:gridCol w:w="1984"/>
        <w:gridCol w:w="1762"/>
      </w:tblGrid>
      <w:tr>
        <w:trPr/>
        <w:tc>
          <w:tcPr>
            <w:tcW w:w="7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N п/п</w:t>
            </w:r>
          </w:p>
        </w:tc>
        <w:tc>
          <w:tcPr>
            <w:tcW w:w="450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Наименование услуг и (или) работ по капитальному ремонту</w:t>
            </w:r>
          </w:p>
        </w:tc>
        <w:tc>
          <w:tcPr>
            <w:tcW w:w="1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Единица измерения</w:t>
            </w:r>
          </w:p>
        </w:tc>
        <w:tc>
          <w:tcPr>
            <w:tcW w:w="17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tabs>
                <w:tab w:val="clear" w:pos="720"/>
              </w:tabs>
              <w:ind w:left="0" w:hanging="0"/>
              <w:jc w:val="center"/>
              <w:rPr>
                <w:b w:val="false"/>
                <w:b w:val="false"/>
              </w:rPr>
            </w:pPr>
            <w:r>
              <w:rPr/>
              <w:t>Размер предельной стоимости</w:t>
            </w:r>
          </w:p>
        </w:tc>
      </w:tr>
      <w:tr>
        <w:trPr/>
        <w:tc>
          <w:tcPr>
            <w:tcW w:w="9041" w:type="dxa"/>
            <w:gridSpan w:val="4"/>
            <w:tcBorders>
              <w:top w:val="single" w:sz="4" w:space="0" w:color="000000"/>
            </w:tcBorders>
            <w:shd w:fill="auto" w:val="clear"/>
          </w:tcPr>
          <w:p>
            <w:pPr>
              <w:pStyle w:val="ConsPlusNormal"/>
              <w:numPr>
                <w:ilvl w:val="0"/>
                <w:numId w:val="0"/>
              </w:numPr>
              <w:tabs>
                <w:tab w:val="clear" w:pos="720"/>
              </w:tabs>
              <w:ind w:left="0" w:hanging="0"/>
              <w:jc w:val="center"/>
              <w:outlineLvl w:val="1"/>
              <w:rPr>
                <w:b w:val="false"/>
                <w:b w:val="false"/>
              </w:rPr>
            </w:pPr>
            <w:r>
              <w:rPr/>
              <w:t>Разработка научно-проектной документации</w:t>
            </w:r>
          </w:p>
        </w:tc>
      </w:tr>
      <w:tr>
        <w:trPr/>
        <w:tc>
          <w:tcPr>
            <w:tcW w:w="793" w:type="dxa"/>
            <w:tcBorders/>
            <w:shd w:fill="auto" w:val="clear"/>
          </w:tcPr>
          <w:p>
            <w:pPr>
              <w:pStyle w:val="ConsPlusNormal"/>
              <w:tabs>
                <w:tab w:val="clear" w:pos="720"/>
              </w:tabs>
              <w:ind w:left="0" w:hanging="0"/>
              <w:jc w:val="center"/>
              <w:rPr>
                <w:b w:val="false"/>
                <w:b w:val="false"/>
              </w:rPr>
            </w:pPr>
            <w:r>
              <w:rPr/>
              <w:t>1.</w:t>
            </w:r>
          </w:p>
        </w:tc>
        <w:tc>
          <w:tcPr>
            <w:tcW w:w="4502" w:type="dxa"/>
            <w:tcBorders/>
            <w:shd w:fill="auto" w:val="clear"/>
          </w:tcPr>
          <w:p>
            <w:pPr>
              <w:pStyle w:val="ConsPlusNormal"/>
              <w:tabs>
                <w:tab w:val="clear" w:pos="720"/>
              </w:tabs>
              <w:ind w:left="0" w:hanging="0"/>
              <w:jc w:val="both"/>
              <w:rPr>
                <w:b w:val="false"/>
                <w:b w:val="false"/>
              </w:rPr>
            </w:pPr>
            <w:r>
              <w:rPr/>
              <w:t>Ремонт внутридомовых инженерных систем электро-, тепло-, газо-, водоснабжения, водоотведения, ремонт подвальных помещений, относящихся к общему имуществу в многоквартирном доме общей площадью:</w:t>
            </w:r>
          </w:p>
        </w:tc>
        <w:tc>
          <w:tcPr>
            <w:tcW w:w="1984" w:type="dxa"/>
            <w:tcBorders/>
            <w:shd w:fill="auto" w:val="clea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62" w:type="dxa"/>
            <w:tcBorders/>
            <w:shd w:fill="auto" w:val="clear"/>
          </w:tcPr>
          <w:p>
            <w:pPr>
              <w:pStyle w:val="ConsPlusNormal"/>
              <w:tabs>
                <w:tab w:val="clear" w:pos="720"/>
              </w:tabs>
              <w:ind w:left="0" w:hanging="0"/>
              <w:jc w:val="left"/>
              <w:rPr>
                <w:b w:val="false"/>
                <w:b w:val="false"/>
              </w:rPr>
            </w:pPr>
            <w:r>
              <w:rPr>
                <w:b w:val="false"/>
              </w:rPr>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both"/>
              <w:rPr>
                <w:b w:val="false"/>
                <w:b w:val="false"/>
              </w:rPr>
            </w:pPr>
            <w:r>
              <w:rPr/>
              <w:t>до 600 кв. метров включительно</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878</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both"/>
              <w:rPr>
                <w:b w:val="false"/>
                <w:b w:val="false"/>
              </w:rPr>
            </w:pPr>
            <w:r>
              <w:rPr/>
              <w:t>от 601 кв. метра до 3 000 кв. метров включительно</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425</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both"/>
              <w:rPr>
                <w:b w:val="false"/>
                <w:b w:val="false"/>
              </w:rPr>
            </w:pPr>
            <w:r>
              <w:rPr/>
              <w:t>от 3 001 кв. метра и более</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220</w:t>
            </w:r>
          </w:p>
        </w:tc>
      </w:tr>
      <w:tr>
        <w:trPr/>
        <w:tc>
          <w:tcPr>
            <w:tcW w:w="793" w:type="dxa"/>
            <w:tcBorders/>
            <w:shd w:fill="auto" w:val="clear"/>
          </w:tcPr>
          <w:p>
            <w:pPr>
              <w:pStyle w:val="ConsPlusNormal"/>
              <w:tabs>
                <w:tab w:val="clear" w:pos="720"/>
              </w:tabs>
              <w:ind w:left="0" w:hanging="0"/>
              <w:jc w:val="center"/>
              <w:rPr>
                <w:b w:val="false"/>
                <w:b w:val="false"/>
              </w:rPr>
            </w:pPr>
            <w:r>
              <w:rPr/>
              <w:t>2.</w:t>
            </w:r>
          </w:p>
        </w:tc>
        <w:tc>
          <w:tcPr>
            <w:tcW w:w="4502" w:type="dxa"/>
            <w:tcBorders/>
            <w:shd w:fill="auto" w:val="clear"/>
          </w:tcPr>
          <w:p>
            <w:pPr>
              <w:pStyle w:val="ConsPlusNormal"/>
              <w:tabs>
                <w:tab w:val="clear" w:pos="720"/>
              </w:tabs>
              <w:ind w:left="0" w:hanging="0"/>
              <w:jc w:val="both"/>
              <w:rPr>
                <w:b w:val="false"/>
                <w:b w:val="false"/>
              </w:rPr>
            </w:pPr>
            <w:r>
              <w:rPr/>
              <w:t>Ремонт скатных крыш площадью покрытия:</w:t>
            </w:r>
          </w:p>
        </w:tc>
        <w:tc>
          <w:tcPr>
            <w:tcW w:w="1984" w:type="dxa"/>
            <w:tcBorders/>
            <w:shd w:fill="auto" w:val="clear"/>
          </w:tcPr>
          <w:p>
            <w:pPr>
              <w:pStyle w:val="ConsPlusNormal"/>
              <w:tabs>
                <w:tab w:val="clear" w:pos="720"/>
              </w:tabs>
              <w:ind w:left="0" w:hanging="0"/>
              <w:jc w:val="center"/>
              <w:rPr>
                <w:b w:val="false"/>
                <w:b w:val="false"/>
              </w:rPr>
            </w:pPr>
            <w:r>
              <w:rPr/>
              <w:t>руб./кв. метр покрытия крыши</w:t>
            </w:r>
          </w:p>
        </w:tc>
        <w:tc>
          <w:tcPr>
            <w:tcW w:w="1762" w:type="dxa"/>
            <w:tcBorders/>
            <w:shd w:fill="auto" w:val="clear"/>
          </w:tcPr>
          <w:p>
            <w:pPr>
              <w:pStyle w:val="ConsPlusNormal"/>
              <w:tabs>
                <w:tab w:val="clear" w:pos="720"/>
              </w:tabs>
              <w:ind w:left="0" w:hanging="0"/>
              <w:jc w:val="left"/>
              <w:rPr>
                <w:b w:val="false"/>
                <w:b w:val="false"/>
              </w:rPr>
            </w:pPr>
            <w:r>
              <w:rPr>
                <w:b w:val="false"/>
              </w:rPr>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both"/>
              <w:rPr>
                <w:b w:val="false"/>
                <w:b w:val="false"/>
              </w:rPr>
            </w:pPr>
            <w:r>
              <w:rPr/>
              <w:t>до 500 кв. метров включительно</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2 427</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both"/>
              <w:rPr>
                <w:b w:val="false"/>
                <w:b w:val="false"/>
              </w:rPr>
            </w:pPr>
            <w:r>
              <w:rPr/>
              <w:t>от 501 кв. метра до 1 000 кв. метров включительно</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911</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center"/>
          </w:tcPr>
          <w:p>
            <w:pPr>
              <w:pStyle w:val="ConsPlusNormal"/>
              <w:tabs>
                <w:tab w:val="clear" w:pos="720"/>
              </w:tabs>
              <w:ind w:left="0" w:hanging="0"/>
              <w:jc w:val="left"/>
              <w:rPr>
                <w:b w:val="false"/>
                <w:b w:val="false"/>
              </w:rPr>
            </w:pPr>
            <w:r>
              <w:rPr/>
              <w:t>от 1 001 кв. метра и более</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vAlign w:val="center"/>
          </w:tcPr>
          <w:p>
            <w:pPr>
              <w:pStyle w:val="ConsPlusNormal"/>
              <w:tabs>
                <w:tab w:val="clear" w:pos="720"/>
              </w:tabs>
              <w:ind w:left="0" w:hanging="0"/>
              <w:jc w:val="center"/>
              <w:rPr>
                <w:b w:val="false"/>
                <w:b w:val="false"/>
              </w:rPr>
            </w:pPr>
            <w:r>
              <w:rPr/>
              <w:t>686</w:t>
            </w:r>
          </w:p>
        </w:tc>
      </w:tr>
      <w:tr>
        <w:trPr/>
        <w:tc>
          <w:tcPr>
            <w:tcW w:w="793" w:type="dxa"/>
            <w:tcBorders/>
            <w:shd w:fill="auto" w:val="clear"/>
          </w:tcPr>
          <w:p>
            <w:pPr>
              <w:pStyle w:val="ConsPlusNormal"/>
              <w:tabs>
                <w:tab w:val="clear" w:pos="720"/>
              </w:tabs>
              <w:ind w:left="0" w:hanging="0"/>
              <w:jc w:val="center"/>
              <w:rPr>
                <w:b w:val="false"/>
                <w:b w:val="false"/>
              </w:rPr>
            </w:pPr>
            <w:r>
              <w:rPr/>
              <w:t>3.</w:t>
            </w:r>
          </w:p>
        </w:tc>
        <w:tc>
          <w:tcPr>
            <w:tcW w:w="4502" w:type="dxa"/>
            <w:tcBorders/>
            <w:shd w:fill="auto" w:val="clear"/>
          </w:tcPr>
          <w:p>
            <w:pPr>
              <w:pStyle w:val="ConsPlusNormal"/>
              <w:tabs>
                <w:tab w:val="clear" w:pos="720"/>
              </w:tabs>
              <w:ind w:left="0" w:hanging="0"/>
              <w:jc w:val="left"/>
              <w:rPr>
                <w:b w:val="false"/>
                <w:b w:val="false"/>
              </w:rPr>
            </w:pPr>
            <w:r>
              <w:rPr/>
              <w:t>Ремонт фасада многоквартирного дома общей площадью:</w:t>
            </w:r>
          </w:p>
        </w:tc>
        <w:tc>
          <w:tcPr>
            <w:tcW w:w="1984" w:type="dxa"/>
            <w:tcBorders/>
            <w:shd w:fill="auto" w:val="clear"/>
            <w:vAlign w:val="cente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62" w:type="dxa"/>
            <w:tcBorders/>
            <w:shd w:fill="auto" w:val="clear"/>
          </w:tcPr>
          <w:p>
            <w:pPr>
              <w:pStyle w:val="ConsPlusNormal"/>
              <w:tabs>
                <w:tab w:val="clear" w:pos="720"/>
              </w:tabs>
              <w:ind w:left="0" w:hanging="0"/>
              <w:jc w:val="left"/>
              <w:rPr>
                <w:b w:val="false"/>
                <w:b w:val="false"/>
              </w:rPr>
            </w:pPr>
            <w:r>
              <w:rPr>
                <w:b w:val="false"/>
              </w:rPr>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center"/>
          </w:tcPr>
          <w:p>
            <w:pPr>
              <w:pStyle w:val="ConsPlusNormal"/>
              <w:tabs>
                <w:tab w:val="clear" w:pos="720"/>
              </w:tabs>
              <w:ind w:left="0" w:hanging="0"/>
              <w:jc w:val="left"/>
              <w:rPr>
                <w:b w:val="false"/>
                <w:b w:val="false"/>
              </w:rPr>
            </w:pPr>
            <w:r>
              <w:rPr/>
              <w:t>до 400 кв. метров</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vAlign w:val="center"/>
          </w:tcPr>
          <w:p>
            <w:pPr>
              <w:pStyle w:val="ConsPlusNormal"/>
              <w:tabs>
                <w:tab w:val="clear" w:pos="720"/>
              </w:tabs>
              <w:ind w:left="0" w:hanging="0"/>
              <w:jc w:val="center"/>
              <w:rPr>
                <w:b w:val="false"/>
                <w:b w:val="false"/>
              </w:rPr>
            </w:pPr>
            <w:r>
              <w:rPr/>
              <w:t>1 956</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left"/>
              <w:rPr>
                <w:b w:val="false"/>
                <w:b w:val="false"/>
              </w:rPr>
            </w:pPr>
            <w:r>
              <w:rPr/>
              <w:t>от 401 кв. метра до 1 000 кв. метров включительно</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vAlign w:val="center"/>
          </w:tcPr>
          <w:p>
            <w:pPr>
              <w:pStyle w:val="ConsPlusNormal"/>
              <w:tabs>
                <w:tab w:val="clear" w:pos="720"/>
              </w:tabs>
              <w:ind w:left="0" w:hanging="0"/>
              <w:jc w:val="center"/>
              <w:rPr>
                <w:b w:val="false"/>
                <w:b w:val="false"/>
              </w:rPr>
            </w:pPr>
            <w:r>
              <w:rPr/>
              <w:t>750</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left"/>
              <w:rPr>
                <w:b w:val="false"/>
                <w:b w:val="false"/>
              </w:rPr>
            </w:pPr>
            <w:r>
              <w:rPr/>
              <w:t>от 1 001 кв. метра и более</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vAlign w:val="bottom"/>
          </w:tcPr>
          <w:p>
            <w:pPr>
              <w:pStyle w:val="ConsPlusNormal"/>
              <w:tabs>
                <w:tab w:val="clear" w:pos="720"/>
              </w:tabs>
              <w:ind w:left="0" w:hanging="0"/>
              <w:jc w:val="center"/>
              <w:rPr>
                <w:b w:val="false"/>
                <w:b w:val="false"/>
              </w:rPr>
            </w:pPr>
            <w:r>
              <w:rPr/>
              <w:t>629</w:t>
            </w:r>
          </w:p>
        </w:tc>
      </w:tr>
      <w:tr>
        <w:trPr/>
        <w:tc>
          <w:tcPr>
            <w:tcW w:w="9041" w:type="dxa"/>
            <w:gridSpan w:val="4"/>
            <w:tcBorders/>
            <w:shd w:fill="auto" w:val="clear"/>
          </w:tcPr>
          <w:p>
            <w:pPr>
              <w:pStyle w:val="ConsPlusNormal"/>
              <w:numPr>
                <w:ilvl w:val="0"/>
                <w:numId w:val="0"/>
              </w:numPr>
              <w:tabs>
                <w:tab w:val="clear" w:pos="720"/>
              </w:tabs>
              <w:ind w:left="0" w:hanging="0"/>
              <w:jc w:val="center"/>
              <w:outlineLvl w:val="1"/>
              <w:rPr>
                <w:b w:val="false"/>
                <w:b w:val="false"/>
              </w:rPr>
            </w:pPr>
            <w:r>
              <w:rPr/>
              <w:t>Строительно-монтажные работы</w:t>
            </w:r>
          </w:p>
        </w:tc>
      </w:tr>
      <w:tr>
        <w:trPr/>
        <w:tc>
          <w:tcPr>
            <w:tcW w:w="793" w:type="dxa"/>
            <w:tcBorders/>
            <w:shd w:fill="auto" w:val="clear"/>
          </w:tcPr>
          <w:p>
            <w:pPr>
              <w:pStyle w:val="ConsPlusNormal"/>
              <w:tabs>
                <w:tab w:val="clear" w:pos="720"/>
              </w:tabs>
              <w:ind w:left="0" w:hanging="0"/>
              <w:jc w:val="center"/>
              <w:rPr>
                <w:b w:val="false"/>
                <w:b w:val="false"/>
              </w:rPr>
            </w:pPr>
            <w:r>
              <w:rPr/>
              <w:t>4.</w:t>
            </w:r>
          </w:p>
        </w:tc>
        <w:tc>
          <w:tcPr>
            <w:tcW w:w="4502" w:type="dxa"/>
            <w:tcBorders/>
            <w:shd w:fill="auto" w:val="clear"/>
            <w:vAlign w:val="bottom"/>
          </w:tcPr>
          <w:p>
            <w:pPr>
              <w:pStyle w:val="ConsPlusNormal"/>
              <w:tabs>
                <w:tab w:val="clear" w:pos="720"/>
              </w:tabs>
              <w:ind w:left="0" w:hanging="0"/>
              <w:jc w:val="both"/>
              <w:rPr>
                <w:b w:val="false"/>
                <w:b w:val="false"/>
              </w:rPr>
            </w:pPr>
            <w:r>
              <w:rPr/>
              <w:t>Ремонт внутридомовых инженерных систем электро-, тепло-, газо-, водоснабжения, водоотведения, ремонт подвальных помещений, относящихся к общему имуществу в многоквартирном доме</w:t>
            </w:r>
          </w:p>
        </w:tc>
        <w:tc>
          <w:tcPr>
            <w:tcW w:w="1984" w:type="dxa"/>
            <w:tcBorders/>
            <w:shd w:fill="auto" w:val="clea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62" w:type="dxa"/>
            <w:tcBorders/>
            <w:shd w:fill="auto" w:val="clear"/>
          </w:tcPr>
          <w:p>
            <w:pPr>
              <w:pStyle w:val="ConsPlusNormal"/>
              <w:tabs>
                <w:tab w:val="clear" w:pos="720"/>
              </w:tabs>
              <w:ind w:left="0" w:hanging="0"/>
              <w:jc w:val="center"/>
              <w:rPr>
                <w:b w:val="false"/>
                <w:b w:val="false"/>
              </w:rPr>
            </w:pPr>
            <w:r>
              <w:rPr/>
              <w:t>2 211</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left"/>
              <w:rPr>
                <w:b w:val="false"/>
                <w:b w:val="false"/>
              </w:rPr>
            </w:pPr>
            <w:r>
              <w:rPr/>
              <w:t>В том числе:</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left"/>
              <w:rPr>
                <w:b w:val="false"/>
                <w:b w:val="false"/>
              </w:rPr>
            </w:pPr>
            <w:r>
              <w:rPr>
                <w:b w:val="false"/>
              </w:rPr>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left"/>
              <w:rPr>
                <w:b w:val="false"/>
                <w:b w:val="false"/>
              </w:rPr>
            </w:pPr>
            <w:r>
              <w:rPr/>
              <w:t>ремонт систем электроснабжения</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vAlign w:val="bottom"/>
          </w:tcPr>
          <w:p>
            <w:pPr>
              <w:pStyle w:val="ConsPlusNormal"/>
              <w:tabs>
                <w:tab w:val="clear" w:pos="720"/>
              </w:tabs>
              <w:ind w:left="0" w:hanging="0"/>
              <w:jc w:val="center"/>
              <w:rPr>
                <w:b w:val="false"/>
                <w:b w:val="false"/>
              </w:rPr>
            </w:pPr>
            <w:r>
              <w:rPr/>
              <w:t>287</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left"/>
              <w:rPr>
                <w:b w:val="false"/>
                <w:b w:val="false"/>
              </w:rPr>
            </w:pPr>
            <w:r>
              <w:rPr/>
              <w:t>ремонт систем теплоснабжения</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vAlign w:val="bottom"/>
          </w:tcPr>
          <w:p>
            <w:pPr>
              <w:pStyle w:val="ConsPlusNormal"/>
              <w:tabs>
                <w:tab w:val="clear" w:pos="720"/>
              </w:tabs>
              <w:ind w:left="0" w:hanging="0"/>
              <w:jc w:val="center"/>
              <w:rPr>
                <w:b w:val="false"/>
                <w:b w:val="false"/>
              </w:rPr>
            </w:pPr>
            <w:r>
              <w:rPr/>
              <w:t>597</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left"/>
              <w:rPr>
                <w:b w:val="false"/>
                <w:b w:val="false"/>
              </w:rPr>
            </w:pPr>
            <w:r>
              <w:rPr/>
              <w:t>ремонт систем холодного водоснабжения</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580</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left"/>
              <w:rPr>
                <w:b w:val="false"/>
                <w:b w:val="false"/>
              </w:rPr>
            </w:pPr>
            <w:r>
              <w:rPr/>
              <w:t>ремонт систем горячего водоснабжения</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554</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left"/>
              <w:rPr>
                <w:b w:val="false"/>
                <w:b w:val="false"/>
              </w:rPr>
            </w:pPr>
            <w:r>
              <w:rPr/>
              <w:t>ремонт систем водоотведения</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193</w:t>
            </w:r>
          </w:p>
        </w:tc>
      </w:tr>
      <w:tr>
        <w:trPr/>
        <w:tc>
          <w:tcPr>
            <w:tcW w:w="793" w:type="dxa"/>
            <w:tcBorders/>
            <w:shd w:fill="auto" w:val="clear"/>
          </w:tcPr>
          <w:p>
            <w:pPr>
              <w:pStyle w:val="ConsPlusNormal"/>
              <w:tabs>
                <w:tab w:val="clear" w:pos="720"/>
              </w:tabs>
              <w:ind w:left="0" w:hanging="0"/>
              <w:jc w:val="center"/>
              <w:rPr>
                <w:b w:val="false"/>
                <w:b w:val="false"/>
              </w:rPr>
            </w:pPr>
            <w:r>
              <w:rPr/>
              <w:t>5.</w:t>
            </w:r>
          </w:p>
        </w:tc>
        <w:tc>
          <w:tcPr>
            <w:tcW w:w="4502" w:type="dxa"/>
            <w:tcBorders/>
            <w:shd w:fill="auto" w:val="clear"/>
          </w:tcPr>
          <w:p>
            <w:pPr>
              <w:pStyle w:val="ConsPlusNormal"/>
              <w:tabs>
                <w:tab w:val="clear" w:pos="720"/>
              </w:tabs>
              <w:ind w:left="0" w:hanging="0"/>
              <w:jc w:val="left"/>
              <w:rPr>
                <w:b w:val="false"/>
                <w:b w:val="false"/>
              </w:rPr>
            </w:pPr>
            <w:r>
              <w:rPr/>
              <w:t>Ремонт скатной крыши</w:t>
            </w:r>
          </w:p>
        </w:tc>
        <w:tc>
          <w:tcPr>
            <w:tcW w:w="1984" w:type="dxa"/>
            <w:tcBorders/>
            <w:shd w:fill="auto" w:val="clear"/>
            <w:vAlign w:val="bottom"/>
          </w:tcPr>
          <w:p>
            <w:pPr>
              <w:pStyle w:val="ConsPlusNormal"/>
              <w:tabs>
                <w:tab w:val="clear" w:pos="720"/>
              </w:tabs>
              <w:ind w:left="0" w:hanging="0"/>
              <w:jc w:val="center"/>
              <w:rPr>
                <w:b w:val="false"/>
                <w:b w:val="false"/>
              </w:rPr>
            </w:pPr>
            <w:r>
              <w:rPr/>
              <w:t>руб./кв. метр покрытия крыши</w:t>
            </w:r>
          </w:p>
        </w:tc>
        <w:tc>
          <w:tcPr>
            <w:tcW w:w="1762" w:type="dxa"/>
            <w:tcBorders/>
            <w:shd w:fill="auto" w:val="clear"/>
          </w:tcPr>
          <w:p>
            <w:pPr>
              <w:pStyle w:val="ConsPlusNormal"/>
              <w:tabs>
                <w:tab w:val="clear" w:pos="720"/>
              </w:tabs>
              <w:ind w:left="0" w:hanging="0"/>
              <w:jc w:val="center"/>
              <w:rPr>
                <w:b w:val="false"/>
                <w:b w:val="false"/>
              </w:rPr>
            </w:pPr>
            <w:r>
              <w:rPr/>
              <w:t>4 758</w:t>
            </w:r>
          </w:p>
        </w:tc>
      </w:tr>
      <w:tr>
        <w:trPr/>
        <w:tc>
          <w:tcPr>
            <w:tcW w:w="793" w:type="dxa"/>
            <w:tcBorders/>
            <w:shd w:fill="auto" w:val="clear"/>
          </w:tcPr>
          <w:p>
            <w:pPr>
              <w:pStyle w:val="ConsPlusNormal"/>
              <w:tabs>
                <w:tab w:val="clear" w:pos="720"/>
              </w:tabs>
              <w:ind w:left="0" w:hanging="0"/>
              <w:jc w:val="center"/>
              <w:rPr>
                <w:b w:val="false"/>
                <w:b w:val="false"/>
              </w:rPr>
            </w:pPr>
            <w:r>
              <w:rPr/>
              <w:t>6.</w:t>
            </w:r>
          </w:p>
        </w:tc>
        <w:tc>
          <w:tcPr>
            <w:tcW w:w="4502" w:type="dxa"/>
            <w:tcBorders/>
            <w:shd w:fill="auto" w:val="clear"/>
          </w:tcPr>
          <w:p>
            <w:pPr>
              <w:pStyle w:val="ConsPlusNormal"/>
              <w:tabs>
                <w:tab w:val="clear" w:pos="720"/>
              </w:tabs>
              <w:ind w:left="0" w:hanging="0"/>
              <w:jc w:val="left"/>
              <w:rPr>
                <w:b w:val="false"/>
                <w:b w:val="false"/>
              </w:rPr>
            </w:pPr>
            <w:r>
              <w:rPr/>
              <w:t>Ремонт фасада многоквартирного дома:</w:t>
            </w:r>
          </w:p>
        </w:tc>
        <w:tc>
          <w:tcPr>
            <w:tcW w:w="1984" w:type="dxa"/>
            <w:tcBorders/>
            <w:shd w:fill="auto" w:val="clear"/>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62" w:type="dxa"/>
            <w:tcBorders/>
            <w:shd w:fill="auto" w:val="clear"/>
          </w:tcPr>
          <w:p>
            <w:pPr>
              <w:pStyle w:val="ConsPlusNormal"/>
              <w:tabs>
                <w:tab w:val="clear" w:pos="720"/>
              </w:tabs>
              <w:ind w:left="0" w:hanging="0"/>
              <w:jc w:val="left"/>
              <w:rPr>
                <w:b w:val="false"/>
                <w:b w:val="false"/>
              </w:rPr>
            </w:pPr>
            <w:r>
              <w:rPr>
                <w:b w:val="false"/>
              </w:rPr>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left"/>
              <w:rPr>
                <w:b w:val="false"/>
                <w:b w:val="false"/>
              </w:rPr>
            </w:pPr>
            <w:r>
              <w:rPr/>
              <w:t>простой формы с малым количеством (не более 10% от площади фасадов) типового несложного архитектурного декора: профилей, тяг, деревянного резного декора</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3 491</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tcPr>
          <w:p>
            <w:pPr>
              <w:pStyle w:val="ConsPlusNormal"/>
              <w:tabs>
                <w:tab w:val="clear" w:pos="720"/>
              </w:tabs>
              <w:ind w:left="0" w:hanging="0"/>
              <w:jc w:val="both"/>
              <w:rPr>
                <w:b w:val="false"/>
                <w:b w:val="false"/>
              </w:rPr>
            </w:pPr>
            <w:r>
              <w:rPr/>
              <w:t>усложненной формы с малым количеством (не более 30% от площади фасадов) повторяющегося прямого и криволинейного, профилированного декора средней сложности: гладкие листы, модульоны, сухари, капли, гладкие шишки, деревянный резной декор и прочие аналогичные детали</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4 640</w:t>
            </w:r>
          </w:p>
        </w:tc>
      </w:tr>
      <w:tr>
        <w:trPr/>
        <w:tc>
          <w:tcPr>
            <w:tcW w:w="793" w:type="dxa"/>
            <w:tcBorders/>
            <w:shd w:fill="auto" w:val="clear"/>
          </w:tcPr>
          <w:p>
            <w:pPr>
              <w:pStyle w:val="ConsPlusNormal"/>
              <w:tabs>
                <w:tab w:val="clear" w:pos="720"/>
              </w:tabs>
              <w:ind w:left="0" w:hanging="0"/>
              <w:jc w:val="left"/>
              <w:rPr>
                <w:b w:val="false"/>
                <w:b w:val="false"/>
              </w:rPr>
            </w:pPr>
            <w:r>
              <w:rPr>
                <w:b w:val="false"/>
              </w:rPr>
            </w:r>
          </w:p>
        </w:tc>
        <w:tc>
          <w:tcPr>
            <w:tcW w:w="4502" w:type="dxa"/>
            <w:tcBorders/>
            <w:shd w:fill="auto" w:val="clear"/>
            <w:vAlign w:val="bottom"/>
          </w:tcPr>
          <w:p>
            <w:pPr>
              <w:pStyle w:val="ConsPlusNormal"/>
              <w:tabs>
                <w:tab w:val="clear" w:pos="720"/>
              </w:tabs>
              <w:ind w:left="0" w:hanging="0"/>
              <w:jc w:val="both"/>
              <w:rPr>
                <w:b w:val="false"/>
                <w:b w:val="false"/>
              </w:rPr>
            </w:pPr>
            <w:r>
              <w:rPr/>
              <w:t>усложненной формы с большим количеством (более 30% от площади фасадов) декора средней сложности: веревочка, жгут, горох, порезка орнаментованная, меандр, бусы, орнаментованные модульоны, кронштейны, капители ионические, ионики, барабаны, многослойный деревянный резной узор и прочие аналогичные детали</w:t>
            </w:r>
          </w:p>
        </w:tc>
        <w:tc>
          <w:tcPr>
            <w:tcW w:w="1984" w:type="dxa"/>
            <w:tcBorders/>
            <w:shd w:fill="auto" w:val="clear"/>
          </w:tcPr>
          <w:p>
            <w:pPr>
              <w:pStyle w:val="ConsPlusNormal"/>
              <w:tabs>
                <w:tab w:val="clear" w:pos="720"/>
              </w:tabs>
              <w:ind w:left="0" w:hanging="0"/>
              <w:jc w:val="left"/>
              <w:rPr>
                <w:b w:val="false"/>
                <w:b w:val="false"/>
              </w:rPr>
            </w:pPr>
            <w:r>
              <w:rPr>
                <w:b w:val="false"/>
              </w:rPr>
            </w:r>
          </w:p>
        </w:tc>
        <w:tc>
          <w:tcPr>
            <w:tcW w:w="1762" w:type="dxa"/>
            <w:tcBorders/>
            <w:shd w:fill="auto" w:val="clear"/>
          </w:tcPr>
          <w:p>
            <w:pPr>
              <w:pStyle w:val="ConsPlusNormal"/>
              <w:tabs>
                <w:tab w:val="clear" w:pos="720"/>
              </w:tabs>
              <w:ind w:left="0" w:hanging="0"/>
              <w:jc w:val="center"/>
              <w:rPr>
                <w:b w:val="false"/>
                <w:b w:val="false"/>
              </w:rPr>
            </w:pPr>
            <w:r>
              <w:rPr/>
              <w:t>5 007</w:t>
            </w:r>
          </w:p>
        </w:tc>
      </w:tr>
      <w:tr>
        <w:trPr/>
        <w:tc>
          <w:tcPr>
            <w:tcW w:w="793" w:type="dxa"/>
            <w:tcBorders/>
            <w:shd w:fill="auto" w:val="clear"/>
          </w:tcPr>
          <w:p>
            <w:pPr>
              <w:pStyle w:val="ConsPlusNormal"/>
              <w:tabs>
                <w:tab w:val="clear" w:pos="720"/>
              </w:tabs>
              <w:ind w:left="0" w:hanging="0"/>
              <w:jc w:val="center"/>
              <w:rPr>
                <w:b w:val="false"/>
                <w:b w:val="false"/>
              </w:rPr>
            </w:pPr>
            <w:r>
              <w:rPr/>
              <w:t>7.</w:t>
            </w:r>
          </w:p>
        </w:tc>
        <w:tc>
          <w:tcPr>
            <w:tcW w:w="4502" w:type="dxa"/>
            <w:tcBorders/>
            <w:shd w:fill="auto" w:val="clear"/>
          </w:tcPr>
          <w:p>
            <w:pPr>
              <w:pStyle w:val="ConsPlusNormal"/>
              <w:tabs>
                <w:tab w:val="clear" w:pos="720"/>
              </w:tabs>
              <w:ind w:left="0" w:hanging="0"/>
              <w:jc w:val="both"/>
              <w:rPr>
                <w:b w:val="false"/>
                <w:b w:val="false"/>
              </w:rPr>
            </w:pPr>
            <w:r>
              <w:rPr/>
              <w:t>Ремонт фундамента многоквартирного дома</w:t>
            </w:r>
          </w:p>
        </w:tc>
        <w:tc>
          <w:tcPr>
            <w:tcW w:w="1984" w:type="dxa"/>
            <w:tcBorders/>
            <w:shd w:fill="auto" w:val="clear"/>
            <w:vAlign w:val="bottom"/>
          </w:tcPr>
          <w:p>
            <w:pPr>
              <w:pStyle w:val="ConsPlusNormal"/>
              <w:tabs>
                <w:tab w:val="clear" w:pos="720"/>
              </w:tabs>
              <w:ind w:left="0" w:hanging="0"/>
              <w:jc w:val="center"/>
              <w:rPr>
                <w:b w:val="false"/>
                <w:b w:val="false"/>
              </w:rPr>
            </w:pPr>
            <w:r>
              <w:rPr/>
              <w:t>руб./кв. метр общей площади многоквартирного дома</w:t>
            </w:r>
          </w:p>
        </w:tc>
        <w:tc>
          <w:tcPr>
            <w:tcW w:w="1762" w:type="dxa"/>
            <w:tcBorders/>
            <w:shd w:fill="auto" w:val="clear"/>
          </w:tcPr>
          <w:p>
            <w:pPr>
              <w:pStyle w:val="ConsPlusNormal"/>
              <w:tabs>
                <w:tab w:val="clear" w:pos="720"/>
              </w:tabs>
              <w:ind w:left="0" w:hanging="0"/>
              <w:jc w:val="center"/>
              <w:rPr>
                <w:b w:val="false"/>
                <w:b w:val="false"/>
              </w:rPr>
            </w:pPr>
            <w:r>
              <w:rPr/>
              <w:t>3 958</w:t>
            </w:r>
          </w:p>
        </w:tc>
      </w:tr>
    </w:tbl>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ind w:left="0" w:hanging="0"/>
        <w:jc w:val="both"/>
        <w:rPr>
          <w:rFonts w:ascii="Times New Roman" w:hAnsi="Times New Roman"/>
          <w:b w:val="false"/>
          <w:b w:val="false"/>
          <w:i w:val="false"/>
          <w:i w:val="false"/>
          <w:strike w:val="false"/>
          <w:dstrike w:val="false"/>
          <w:sz w:val="24"/>
          <w:u w:val="none"/>
        </w:rPr>
      </w:pPr>
      <w:r>
        <w:rPr>
          <w:b w:val="false"/>
          <w:i w:val="false"/>
          <w:strike w:val="false"/>
          <w:dstrike w:val="false"/>
          <w:sz w:val="24"/>
          <w:u w:val="none"/>
        </w:rPr>
      </w:r>
    </w:p>
    <w:p>
      <w:pPr>
        <w:pStyle w:val="ConsPlusNormal"/>
        <w:pBdr>
          <w:top w:val="single" w:sz="6" w:space="0" w:color="000000"/>
        </w:pBdr>
        <w:spacing w:before="100" w:after="100"/>
        <w:ind w:left="0" w:hanging="0"/>
        <w:jc w:val="both"/>
        <w:rPr/>
      </w:pPr>
      <w:r>
        <w:rPr/>
      </w:r>
    </w:p>
    <w:sectPr>
      <w:headerReference w:type="default" r:id="rId5"/>
      <w:footerReference w:type="default" r:id="rId6"/>
      <w:type w:val="nextPage"/>
      <w:pgSz w:w="11906" w:h="16838"/>
      <w:pgMar w:left="1133" w:right="566"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0">
    <w:charset w:val="cc"/>
    <w:family w:val="roman"/>
    <w:pitch w:val="variable"/>
  </w:font>
  <w:font w:name="Liberation Sans">
    <w:altName w:val="Arial"/>
    <w:charset w:val="cc"/>
    <w:family w:val="swiss"/>
    <w:pitch w:val="variable"/>
  </w:font>
  <w:font w:name="Courier New">
    <w:charset w:val="cc"/>
    <w:family w:val="roman"/>
    <w:pitch w:val="variable"/>
  </w:font>
  <w:font w:name="Arial">
    <w:charset w:val="cc"/>
    <w:family w:val="roman"/>
    <w:pitch w:val="variable"/>
  </w:font>
  <w:font w:name="Tahoma">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nsPlusNormal"/>
      <w:pBdr>
        <w:bottom w:val="single" w:sz="12" w:space="0" w:color="000000"/>
      </w:pBdr>
      <w:jc w:val="center"/>
      <w:rPr>
        <w:sz w:val="1"/>
      </w:rPr>
    </w:pPr>
    <w:r>
      <w:rPr>
        <w:sz w:val="1"/>
      </w:rPr>
    </w:r>
  </w:p>
  <w:tbl>
    <w:tblPr>
      <w:tblW w:w="10207" w:type="dxa"/>
      <w:jc w:val="left"/>
      <w:tblInd w:w="0" w:type="dxa"/>
      <w:tblBorders/>
      <w:tblCellMar>
        <w:top w:w="0" w:type="dxa"/>
        <w:left w:w="40" w:type="dxa"/>
        <w:bottom w:w="0" w:type="dxa"/>
        <w:right w:w="40" w:type="dxa"/>
      </w:tblCellMar>
    </w:tblPr>
    <w:tblGrid>
      <w:gridCol w:w="3368"/>
      <w:gridCol w:w="3470"/>
      <w:gridCol w:w="3369"/>
    </w:tblGrid>
    <w:tr>
      <w:trPr>
        <w:trHeight w:val="1663" w:hRule="exact"/>
      </w:trPr>
      <w:tc>
        <w:tcPr>
          <w:tcW w:w="3368" w:type="dxa"/>
          <w:tcBorders/>
          <w:shd w:fill="auto" w:val="clear"/>
          <w:vAlign w:val="center"/>
        </w:tcPr>
        <w:p>
          <w:pPr>
            <w:pStyle w:val="ConsPlusNormal"/>
            <w:tabs>
              <w:tab w:val="clear" w:pos="720"/>
            </w:tabs>
            <w:jc w:val="left"/>
            <w:rPr/>
          </w:pPr>
          <w:r>
            <w:rPr>
              <w:rFonts w:ascii="0" w:hAnsi="0"/>
              <w:b/>
              <w:i w:val="false"/>
              <w:color w:val="F58220"/>
              <w:sz w:val="28"/>
            </w:rPr>
            <w:t>КонсультантПлюс</w:t>
          </w:r>
          <w:r>
            <w:rPr/>
            <w:br/>
          </w:r>
          <w:r>
            <w:rPr>
              <w:rFonts w:ascii="0" w:hAnsi="0"/>
              <w:b/>
              <w:i w:val="false"/>
              <w:color w:val="auto"/>
              <w:sz w:val="16"/>
            </w:rPr>
            <w:t>надежная правовая поддержка</w:t>
          </w:r>
        </w:p>
      </w:tc>
      <w:tc>
        <w:tcPr>
          <w:tcW w:w="3470" w:type="dxa"/>
          <w:tcBorders/>
          <w:shd w:fill="auto" w:val="clear"/>
          <w:vAlign w:val="center"/>
        </w:tcPr>
        <w:p>
          <w:pPr>
            <w:pStyle w:val="ConsPlusNormal"/>
            <w:tabs>
              <w:tab w:val="clear" w:pos="720"/>
            </w:tabs>
            <w:jc w:val="center"/>
            <w:rPr/>
          </w:pPr>
          <w:hyperlink r:id="rId1">
            <w:r>
              <w:rPr>
                <w:rStyle w:val="ListLabel5"/>
                <w:rFonts w:ascii="0" w:hAnsi="0"/>
                <w:b/>
                <w:i w:val="false"/>
                <w:color w:val="0000FF"/>
                <w:sz w:val="20"/>
              </w:rPr>
              <w:t>www.consultant.ru</w:t>
            </w:r>
          </w:hyperlink>
        </w:p>
      </w:tc>
      <w:tc>
        <w:tcPr>
          <w:tcW w:w="3369" w:type="dxa"/>
          <w:tcBorders/>
          <w:shd w:fill="auto" w:val="clear"/>
          <w:vAlign w:val="center"/>
        </w:tcPr>
        <w:p>
          <w:pPr>
            <w:pStyle w:val="ConsPlusNormal"/>
            <w:tabs>
              <w:tab w:val="clear" w:pos="720"/>
            </w:tabs>
            <w:jc w:val="right"/>
            <w:rPr/>
          </w:pPr>
          <w:r>
            <w:rPr>
              <w:rFonts w:ascii="0" w:hAnsi="0"/>
              <w:b w:val="false"/>
              <w:i w:val="false"/>
              <w:sz w:val="20"/>
            </w:rPr>
            <w:t xml:space="preserve">Страница </w:t>
          </w:r>
          <w:r>
            <w:rPr/>
            <w:fldChar w:fldCharType="begin"/>
          </w:r>
          <w:r>
            <w:rPr/>
            <w:instrText> PAGE </w:instrText>
          </w:r>
          <w:r>
            <w:rPr/>
            <w:fldChar w:fldCharType="separate"/>
          </w:r>
          <w:r>
            <w:rPr/>
            <w:t>7</w:t>
          </w:r>
          <w:r>
            <w:rPr/>
            <w:fldChar w:fldCharType="end"/>
          </w:r>
          <w:r>
            <w:rPr>
              <w:rFonts w:ascii="0" w:hAnsi="0"/>
              <w:b w:val="false"/>
              <w:i w:val="false"/>
              <w:sz w:val="20"/>
            </w:rPr>
            <w:t xml:space="preserve"> из </w:t>
          </w:r>
          <w:r>
            <w:rPr/>
            <w:fldChar w:fldCharType="begin"/>
          </w:r>
          <w:r>
            <w:rPr/>
            <w:instrText> NUMPAGES </w:instrText>
          </w:r>
          <w:r>
            <w:rPr/>
            <w:fldChar w:fldCharType="separate"/>
          </w:r>
          <w:r>
            <w:rPr/>
            <w:t>7</w:t>
          </w:r>
          <w:r>
            <w:rPr/>
            <w:fldChar w:fldCharType="end"/>
          </w:r>
        </w:p>
      </w:tc>
    </w:tr>
  </w:tbl>
  <w:p>
    <w:pPr>
      <w:pStyle w:val="ConsPlusNormal"/>
      <w:rPr>
        <w:sz w:val="1"/>
      </w:rPr>
    </w:pPr>
    <w:r>
      <w:rPr>
        <w:sz w:val="1"/>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207" w:type="dxa"/>
      <w:jc w:val="left"/>
      <w:tblInd w:w="0" w:type="dxa"/>
      <w:tblBorders/>
      <w:tblCellMar>
        <w:top w:w="0" w:type="dxa"/>
        <w:left w:w="40" w:type="dxa"/>
        <w:bottom w:w="0" w:type="dxa"/>
        <w:right w:w="40" w:type="dxa"/>
      </w:tblCellMar>
    </w:tblPr>
    <w:tblGrid>
      <w:gridCol w:w="5612"/>
      <w:gridCol w:w="511"/>
      <w:gridCol w:w="4084"/>
    </w:tblGrid>
    <w:tr>
      <w:trPr>
        <w:trHeight w:val="1683" w:hRule="exact"/>
      </w:trPr>
      <w:tc>
        <w:tcPr>
          <w:tcW w:w="5612" w:type="dxa"/>
          <w:tcBorders/>
          <w:shd w:fill="auto" w:val="clear"/>
          <w:vAlign w:val="center"/>
        </w:tcPr>
        <w:p>
          <w:pPr>
            <w:pStyle w:val="ConsPlusNormal"/>
            <w:tabs>
              <w:tab w:val="clear" w:pos="720"/>
            </w:tabs>
            <w:jc w:val="left"/>
            <w:rPr/>
          </w:pPr>
          <w:r>
            <w:rPr>
              <w:rFonts w:ascii="0" w:hAnsi="0"/>
              <w:b w:val="false"/>
              <w:i w:val="false"/>
              <w:sz w:val="16"/>
            </w:rPr>
            <w:t>Постановление Правительства Самарской области от 11.09.2019 N 636</w:t>
          </w:r>
          <w:r>
            <w:rPr/>
            <w:br/>
          </w:r>
          <w:r>
            <w:rPr>
              <w:rFonts w:ascii="0" w:hAnsi="0"/>
              <w:b w:val="false"/>
              <w:i w:val="false"/>
              <w:sz w:val="16"/>
            </w:rPr>
            <w:t>"Об установлении размера предельной стоимости услуг и ...</w:t>
          </w:r>
        </w:p>
      </w:tc>
      <w:tc>
        <w:tcPr>
          <w:tcW w:w="511" w:type="dxa"/>
          <w:tcBorders/>
          <w:shd w:fill="auto" w:val="clear"/>
          <w:vAlign w:val="center"/>
        </w:tcPr>
        <w:p>
          <w:pPr>
            <w:pStyle w:val="ConsPlusNormal"/>
            <w:tabs>
              <w:tab w:val="clear" w:pos="720"/>
            </w:tabs>
            <w:jc w:val="center"/>
            <w:rPr/>
          </w:pPr>
          <w:r>
            <w:rPr/>
          </w:r>
        </w:p>
        <w:p>
          <w:pPr>
            <w:pStyle w:val="ConsPlusNormal"/>
            <w:tabs>
              <w:tab w:val="clear" w:pos="720"/>
            </w:tabs>
            <w:jc w:val="center"/>
            <w:rPr/>
          </w:pPr>
          <w:r>
            <w:rPr/>
          </w:r>
        </w:p>
      </w:tc>
      <w:tc>
        <w:tcPr>
          <w:tcW w:w="4084" w:type="dxa"/>
          <w:tcBorders/>
          <w:shd w:fill="auto" w:val="clear"/>
          <w:vAlign w:val="center"/>
        </w:tcPr>
        <w:p>
          <w:pPr>
            <w:pStyle w:val="ConsPlusNormal"/>
            <w:tabs>
              <w:tab w:val="clear" w:pos="720"/>
            </w:tabs>
            <w:jc w:val="right"/>
            <w:rPr/>
          </w:pPr>
          <w:r>
            <w:rPr>
              <w:rFonts w:ascii="0" w:hAnsi="0"/>
              <w:b w:val="false"/>
              <w:i w:val="false"/>
              <w:sz w:val="18"/>
            </w:rPr>
            <w:t xml:space="preserve">Документ предоставлен </w:t>
          </w:r>
          <w:hyperlink r:id="rId1">
            <w:r>
              <w:rPr>
                <w:rStyle w:val="ListLabel4"/>
                <w:rFonts w:ascii="0" w:hAnsi="0"/>
                <w:b w:val="false"/>
                <w:i w:val="false"/>
                <w:color w:val="0000FF"/>
                <w:sz w:val="18"/>
              </w:rPr>
              <w:t>КонсультантПлюс</w:t>
            </w:r>
          </w:hyperlink>
          <w:r>
            <w:rPr/>
            <w:br/>
          </w:r>
          <w:r>
            <w:rPr>
              <w:rFonts w:ascii="0" w:hAnsi="0"/>
              <w:b w:val="false"/>
              <w:i w:val="false"/>
              <w:sz w:val="16"/>
            </w:rPr>
            <w:t>Дата сохранения: 18.09.2019</w:t>
          </w:r>
        </w:p>
      </w:tc>
    </w:tr>
  </w:tbl>
  <w:p>
    <w:pPr>
      <w:pStyle w:val="ConsPlusNormal"/>
      <w:pBdr>
        <w:bottom w:val="single" w:sz="12" w:space="0" w:color="000000"/>
      </w:pBdr>
      <w:jc w:val="center"/>
      <w:rPr>
        <w:sz w:val="1"/>
      </w:rPr>
    </w:pPr>
    <w:r>
      <w:rPr>
        <w:sz w:val="1"/>
      </w:rPr>
    </w:r>
  </w:p>
  <w:p>
    <w:pPr>
      <w:pStyle w:val="ConsPlusNormal"/>
      <w:jc w:val="center"/>
      <w:rPr/>
    </w:pPr>
    <w:r>
      <w:rPr>
        <w:sz w:val="10"/>
      </w:rPr>
      <w:t xml:space="preserve"> </w:t>
    </w:r>
  </w:p>
</w:hdr>
</file>

<file path=word/settings.xml><?xml version="1.0" encoding="utf-8"?>
<w:settings xmlns:w="http://schemas.openxmlformats.org/wordprocessingml/2006/main">
  <w:zoom w:percent="9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ru-RU" w:eastAsia="zh-CN" w:bidi="hi-IN"/>
      </w:rPr>
    </w:rPrDefault>
    <w:pPrDefault>
      <w:pPr/>
    </w:pPrDefault>
  </w:docDefaults>
  <w:style w:type="paragraph" w:styleId="Normal">
    <w:name w:val="Normal"/>
    <w:qFormat/>
    <w:pPr>
      <w:widowControl w:val="false"/>
    </w:pPr>
    <w:rPr>
      <w:rFonts w:ascii="Liberation Serif" w:hAnsi="Liberation Serif" w:eastAsia="NSimSun" w:cs="Mangal"/>
      <w:color w:val="auto"/>
      <w:kern w:val="2"/>
      <w:sz w:val="24"/>
      <w:szCs w:val="24"/>
      <w:lang w:val="ru-RU" w:eastAsia="zh-CN" w:bidi="hi-IN"/>
    </w:rPr>
  </w:style>
  <w:style w:type="character" w:styleId="ListLabel1">
    <w:name w:val="ListLabel 1"/>
    <w:qFormat/>
    <w:rPr>
      <w:b/>
      <w:color w:val="0000FF"/>
      <w:sz w:val="28"/>
    </w:rPr>
  </w:style>
  <w:style w:type="character" w:styleId="ListLabel2">
    <w:name w:val="ListLabel 2"/>
    <w:qFormat/>
    <w:rPr/>
  </w:style>
  <w:style w:type="character" w:styleId="Style14">
    <w:name w:val="Интернет-ссылка"/>
    <w:rPr>
      <w:color w:val="000080"/>
      <w:u w:val="single"/>
      <w:lang w:val="zxx" w:eastAsia="zxx" w:bidi="zxx"/>
    </w:rPr>
  </w:style>
  <w:style w:type="character" w:styleId="ListLabel3">
    <w:name w:val="ListLabel 3"/>
    <w:qFormat/>
    <w:rPr>
      <w:rFonts w:ascii="Times New Roman" w:hAnsi="Times New Roman"/>
      <w:b w:val="false"/>
      <w:i w:val="false"/>
      <w:strike w:val="false"/>
      <w:dstrike w:val="false"/>
      <w:color w:val="0000FF"/>
      <w:sz w:val="24"/>
      <w:u w:val="none"/>
    </w:rPr>
  </w:style>
  <w:style w:type="character" w:styleId="ListLabel4">
    <w:name w:val="ListLabel 4"/>
    <w:qFormat/>
    <w:rPr>
      <w:rFonts w:ascii="0" w:hAnsi="0"/>
      <w:b w:val="false"/>
      <w:i w:val="false"/>
      <w:color w:val="0000FF"/>
      <w:sz w:val="18"/>
    </w:rPr>
  </w:style>
  <w:style w:type="character" w:styleId="ListLabel5">
    <w:name w:val="ListLabel 5"/>
    <w:qFormat/>
    <w:rPr>
      <w:rFonts w:ascii="0" w:hAnsi="0"/>
      <w:b/>
      <w:i w:val="false"/>
      <w:color w:val="0000FF"/>
      <w:sz w:val="20"/>
    </w:rPr>
  </w:style>
  <w:style w:type="paragraph" w:styleId="Style15">
    <w:name w:val="Заголовок"/>
    <w:basedOn w:val="Normal"/>
    <w:next w:val="Style16"/>
    <w:qFormat/>
    <w:pPr>
      <w:keepNext w:val="true"/>
      <w:spacing w:before="240" w:after="120"/>
    </w:pPr>
    <w:rPr>
      <w:rFonts w:ascii="Liberation Sans" w:hAnsi="Liberation Sans" w:eastAsia="Microsoft YaHei" w:cs="Mang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Mangal"/>
    </w:rPr>
  </w:style>
  <w:style w:type="paragraph" w:styleId="Style18">
    <w:name w:val="Caption"/>
    <w:basedOn w:val="Normal"/>
    <w:qFormat/>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ConsPlusNormal">
    <w:name w:val="ConsPlusNormal"/>
    <w:qFormat/>
    <w:pPr>
      <w:widowControl/>
      <w:bidi w:val="0"/>
      <w:jc w:val="left"/>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Nonformat">
    <w:name w:val="ConsPlusNonformat"/>
    <w:qFormat/>
    <w:pPr>
      <w:widowControl/>
      <w:bidi w:val="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bidi w:val="0"/>
      <w:jc w:val="left"/>
    </w:pPr>
    <w:rPr>
      <w:rFonts w:ascii="Arial" w:hAnsi="Arial" w:eastAsia="Arial" w:cs="Courier New"/>
      <w:b/>
      <w:i w:val="false"/>
      <w:strike w:val="false"/>
      <w:dstrike w:val="false"/>
      <w:color w:val="auto"/>
      <w:kern w:val="2"/>
      <w:sz w:val="24"/>
      <w:szCs w:val="24"/>
      <w:u w:val="none"/>
      <w:lang w:val="ru-RU" w:eastAsia="zh-CN" w:bidi="hi-IN"/>
    </w:rPr>
  </w:style>
  <w:style w:type="paragraph" w:styleId="ConsPlusCell">
    <w:name w:val="ConsPlusCell"/>
    <w:qFormat/>
    <w:pPr>
      <w:widowControl/>
      <w:bidi w:val="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bidi w:val="0"/>
      <w:jc w:val="left"/>
    </w:pPr>
    <w:rPr>
      <w:rFonts w:ascii="Tahoma" w:hAnsi="Tahoma" w:eastAsia="Arial" w:cs="Courier New"/>
      <w:b w:val="false"/>
      <w:i w:val="false"/>
      <w:strike w:val="false"/>
      <w:dstrike w:val="false"/>
      <w:color w:val="auto"/>
      <w:kern w:val="2"/>
      <w:sz w:val="18"/>
      <w:szCs w:val="24"/>
      <w:u w:val="none"/>
      <w:lang w:val="ru-RU" w:eastAsia="zh-CN" w:bidi="hi-IN"/>
    </w:rPr>
  </w:style>
  <w:style w:type="paragraph" w:styleId="ConsPlusTitlePage">
    <w:name w:val="ConsPlusTitlePage"/>
    <w:qFormat/>
    <w:pPr>
      <w:widowControl/>
      <w:bidi w:val="0"/>
      <w:jc w:val="left"/>
    </w:pPr>
    <w:rPr>
      <w:rFonts w:ascii="Tahoma" w:hAnsi="Tahoma" w:eastAsia="Arial" w:cs="Courier New"/>
      <w:b w:val="false"/>
      <w:i w:val="false"/>
      <w:strike w:val="false"/>
      <w:dstrike w:val="false"/>
      <w:color w:val="auto"/>
      <w:kern w:val="2"/>
      <w:sz w:val="24"/>
      <w:szCs w:val="24"/>
      <w:u w:val="none"/>
      <w:lang w:val="ru-RU" w:eastAsia="zh-CN" w:bidi="hi-IN"/>
    </w:rPr>
  </w:style>
  <w:style w:type="paragraph" w:styleId="ConsPlusJurTerm">
    <w:name w:val="ConsPlusJurTerm"/>
    <w:qFormat/>
    <w:pPr>
      <w:widowControl/>
      <w:bidi w:val="0"/>
      <w:jc w:val="left"/>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TextList">
    <w:name w:val="ConsPlusTextList"/>
    <w:qFormat/>
    <w:pPr>
      <w:widowControl/>
      <w:bidi w:val="0"/>
      <w:jc w:val="left"/>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Style20">
    <w:name w:val="Header"/>
    <w:basedOn w:val="Normal"/>
    <w:pPr/>
    <w:rPr/>
  </w:style>
  <w:style w:type="paragraph" w:styleId="Style21">
    <w:name w:val="Footer"/>
    <w:basedOn w:val="Normal"/>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onsultant.ru/" TargetMode="External"/><Relationship Id="rId4" Type="http://schemas.openxmlformats.org/officeDocument/2006/relationships/hyperlink" Target="http://www.consultant.ru/"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http://www.consultant.ru/" TargetMode="External"/>
</Relationships>
</file>

<file path=word/_rels/header1.xml.rels><?xml version="1.0" encoding="UTF-8"?>
<Relationships xmlns="http://schemas.openxmlformats.org/package/2006/relationships"><Relationship Id="rId1" Type="http://schemas.openxmlformats.org/officeDocument/2006/relationships/hyperlink" Target="http://www.consultant.ru/"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LibreOffice/6.1.0.3$Windows_X86_64 LibreOffice_project/efb621ed25068d70781dc026f7e9c5187a4decd1</Application>
  <Pages>13</Pages>
  <Words>1060</Words>
  <Characters>7031</Characters>
  <CharactersWithSpaces>7901</CharactersWithSpaces>
  <Paragraphs>197</Paragraphs>
  <Company>КонсультантПлюс Версия 4018.00.50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2019-09-18T08:10:00Z</dcterms:created>
  <dc:creator/>
  <dc:description/>
  <dc:language>ru-RU</dc:language>
  <cp:lastModifiedBy/>
  <cp:revision>0</cp:revision>
  <dc:subject/>
  <dc:title>Постановление Правительства Самарской области от 11.09.2019 N 636"Об установлении размера предельной стоимости услуг и (или) работ по капитальному ремонту общего имущества в многоквартирном доме"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4018.00.50</vt:lpwstr>
  </property>
</Properties>
</file>